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3D89B" w14:textId="77777777" w:rsidR="004C0BAB" w:rsidRDefault="00F969CF" w:rsidP="003A327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VEF: Annual Corporate Governance Report 2023</w:t>
      </w:r>
    </w:p>
    <w:p w14:paraId="151961F7" w14:textId="77777777" w:rsidR="004C0BAB" w:rsidRDefault="00F969CF" w:rsidP="003A327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January 29, 2024, Vietnam Exhibition Fair Center Joint Stock Company announced Report No. 01A/2024/BC-VEFAC JSC on corporate governance 2023 as follows: </w:t>
      </w:r>
    </w:p>
    <w:p w14:paraId="09D0084A" w14:textId="77777777" w:rsidR="004C0BAB" w:rsidRDefault="00F969CF" w:rsidP="003A3279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Name of company: Vietnam Exhibition Fair Center Joint Stock Company</w:t>
      </w:r>
    </w:p>
    <w:p w14:paraId="0CDAC445" w14:textId="77777777" w:rsidR="004C0BAB" w:rsidRDefault="00F969CF" w:rsidP="003A327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Head office address: No. 148 Giang Vo Street, Giang Vo Ward, Ba Dinh District, Hanoi.</w:t>
      </w:r>
    </w:p>
    <w:p w14:paraId="3FA8462F" w14:textId="77777777" w:rsidR="004C0BAB" w:rsidRDefault="00F969CF" w:rsidP="003A327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"/>
          <w:tab w:val="left" w:pos="432"/>
          <w:tab w:val="left" w:pos="505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Tel: (84 24) 38345655</w:t>
      </w:r>
      <w:r>
        <w:rPr>
          <w:rFonts w:ascii="Arial" w:hAnsi="Arial"/>
          <w:color w:val="010000"/>
          <w:sz w:val="20"/>
        </w:rPr>
        <w:tab/>
        <w:t>Fax: (84-24) 38313208</w:t>
      </w:r>
    </w:p>
    <w:p w14:paraId="35995EFA" w14:textId="77777777" w:rsidR="004C0BAB" w:rsidRDefault="00F969CF" w:rsidP="003A327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"/>
          <w:tab w:val="left" w:pos="432"/>
          <w:tab w:val="left" w:pos="505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Website: </w:t>
      </w:r>
      <w:hyperlink r:id="rId6">
        <w:r>
          <w:rPr>
            <w:rFonts w:ascii="Arial" w:hAnsi="Arial"/>
            <w:color w:val="010000"/>
            <w:sz w:val="20"/>
          </w:rPr>
          <w:t>www.vefac.vn</w:t>
        </w:r>
      </w:hyperlink>
    </w:p>
    <w:p w14:paraId="57DD77DB" w14:textId="77777777" w:rsidR="004C0BAB" w:rsidRDefault="00F969CF" w:rsidP="003A327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"/>
          <w:tab w:val="left" w:pos="432"/>
          <w:tab w:val="left" w:pos="505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Charter capital: VND 1,666,040,500,000 </w:t>
      </w:r>
    </w:p>
    <w:p w14:paraId="664C00FF" w14:textId="77777777" w:rsidR="004C0BAB" w:rsidRDefault="00F969CF" w:rsidP="003A327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"/>
          <w:tab w:val="left" w:pos="432"/>
          <w:tab w:val="left" w:pos="505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VEF</w:t>
      </w:r>
    </w:p>
    <w:p w14:paraId="0CCF1AD2" w14:textId="3038B1F2" w:rsidR="004C0BAB" w:rsidRDefault="00F969CF" w:rsidP="003A327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Corporate Governance Model: The </w:t>
      </w:r>
      <w:r w:rsidR="003A3279">
        <w:rPr>
          <w:rFonts w:ascii="Arial" w:hAnsi="Arial"/>
          <w:color w:val="010000"/>
          <w:sz w:val="20"/>
        </w:rPr>
        <w:t>General Meeting, Board of Directors, Supervisory Board and Managing Director</w:t>
      </w:r>
    </w:p>
    <w:p w14:paraId="00449826" w14:textId="0A0F7000" w:rsidR="004C0BAB" w:rsidRDefault="00F969CF" w:rsidP="003A327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Internal audit: Unimplemented</w:t>
      </w:r>
    </w:p>
    <w:p w14:paraId="628DA393" w14:textId="7A467D75" w:rsidR="004C0BAB" w:rsidRDefault="00F969CF" w:rsidP="003A327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Activities of the </w:t>
      </w:r>
      <w:r w:rsidR="003A3279">
        <w:rPr>
          <w:rFonts w:ascii="Arial" w:hAnsi="Arial"/>
          <w:color w:val="010000"/>
          <w:sz w:val="20"/>
        </w:rPr>
        <w:t>General Meeting</w:t>
      </w:r>
    </w:p>
    <w:p w14:paraId="6EC919F7" w14:textId="6286078A" w:rsidR="004C0BAB" w:rsidRDefault="00F969CF" w:rsidP="003A327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Information about the meetings and General Mandates/Decisions of the </w:t>
      </w:r>
      <w:r w:rsidR="003A3279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(including General Mandates approved by collecting </w:t>
      </w:r>
      <w:r w:rsidR="003A3279">
        <w:rPr>
          <w:rFonts w:ascii="Arial" w:hAnsi="Arial"/>
          <w:color w:val="010000"/>
          <w:sz w:val="20"/>
        </w:rPr>
        <w:t>ballots</w:t>
      </w:r>
      <w:r>
        <w:rPr>
          <w:rFonts w:ascii="Arial" w:hAnsi="Arial"/>
          <w:color w:val="010000"/>
          <w:sz w:val="20"/>
        </w:rPr>
        <w:t>):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2970"/>
        <w:gridCol w:w="1259"/>
        <w:gridCol w:w="3975"/>
      </w:tblGrid>
      <w:tr w:rsidR="004C0BAB" w14:paraId="5096C860" w14:textId="77777777">
        <w:tc>
          <w:tcPr>
            <w:tcW w:w="813" w:type="dxa"/>
            <w:shd w:val="clear" w:color="auto" w:fill="auto"/>
            <w:tcMar>
              <w:top w:w="0" w:type="dxa"/>
              <w:bottom w:w="0" w:type="dxa"/>
            </w:tcMar>
          </w:tcPr>
          <w:p w14:paraId="33F5FF9C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970" w:type="dxa"/>
            <w:shd w:val="clear" w:color="auto" w:fill="auto"/>
            <w:tcMar>
              <w:top w:w="0" w:type="dxa"/>
              <w:bottom w:w="0" w:type="dxa"/>
            </w:tcMar>
          </w:tcPr>
          <w:p w14:paraId="7F5BC648" w14:textId="2B790118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General Mandate/Decision of the </w:t>
            </w:r>
            <w:r w:rsidR="003A3279">
              <w:rPr>
                <w:rFonts w:ascii="Arial" w:hAnsi="Arial"/>
                <w:color w:val="010000"/>
                <w:sz w:val="20"/>
              </w:rPr>
              <w:t xml:space="preserve">General Meeting </w:t>
            </w:r>
          </w:p>
        </w:tc>
        <w:tc>
          <w:tcPr>
            <w:tcW w:w="1259" w:type="dxa"/>
            <w:shd w:val="clear" w:color="auto" w:fill="auto"/>
            <w:tcMar>
              <w:top w:w="0" w:type="dxa"/>
              <w:bottom w:w="0" w:type="dxa"/>
            </w:tcMar>
          </w:tcPr>
          <w:p w14:paraId="7ED2A459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3975" w:type="dxa"/>
            <w:shd w:val="clear" w:color="auto" w:fill="auto"/>
            <w:tcMar>
              <w:top w:w="0" w:type="dxa"/>
              <w:bottom w:w="0" w:type="dxa"/>
            </w:tcMar>
          </w:tcPr>
          <w:p w14:paraId="71F7F59F" w14:textId="5C2BD121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3A3279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4C0BAB" w14:paraId="37CB70C3" w14:textId="77777777">
        <w:tc>
          <w:tcPr>
            <w:tcW w:w="8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91EF34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9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92800C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01/2023/NQ-DHDCD-VEFAC JSC</w:t>
            </w:r>
          </w:p>
        </w:tc>
        <w:tc>
          <w:tcPr>
            <w:tcW w:w="12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472441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25, 2023</w:t>
            </w:r>
          </w:p>
        </w:tc>
        <w:tc>
          <w:tcPr>
            <w:tcW w:w="39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468791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Annual General Mandate 2023</w:t>
            </w:r>
          </w:p>
        </w:tc>
      </w:tr>
    </w:tbl>
    <w:p w14:paraId="12B1AD54" w14:textId="30ED9D6E" w:rsidR="004C0BAB" w:rsidRDefault="00F969C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69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of Directors (Annual Report 2023)</w:t>
      </w:r>
    </w:p>
    <w:p w14:paraId="455323BE" w14:textId="77777777" w:rsidR="004C0BAB" w:rsidRDefault="00F969C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6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Directors:</w:t>
      </w:r>
    </w:p>
    <w:tbl>
      <w:tblPr>
        <w:tblStyle w:val="a0"/>
        <w:tblW w:w="9017" w:type="dxa"/>
        <w:tblLayout w:type="fixed"/>
        <w:tblLook w:val="0000" w:firstRow="0" w:lastRow="0" w:firstColumn="0" w:lastColumn="0" w:noHBand="0" w:noVBand="0"/>
      </w:tblPr>
      <w:tblGrid>
        <w:gridCol w:w="766"/>
        <w:gridCol w:w="2519"/>
        <w:gridCol w:w="1928"/>
        <w:gridCol w:w="1852"/>
        <w:gridCol w:w="1946"/>
        <w:gridCol w:w="6"/>
      </w:tblGrid>
      <w:tr w:rsidR="004C0BAB" w14:paraId="33A87F38" w14:textId="77777777"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18EFAA7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532AF37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Board of Directors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4787C98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380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D507BC2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Board of Directors</w:t>
            </w:r>
          </w:p>
        </w:tc>
      </w:tr>
      <w:tr w:rsidR="004C0BAB" w14:paraId="272B893C" w14:textId="77777777"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2255498" w14:textId="77777777" w:rsidR="004C0BAB" w:rsidRDefault="004C0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D2B2F79" w14:textId="77777777" w:rsidR="004C0BAB" w:rsidRDefault="004C0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CC91026" w14:textId="77777777" w:rsidR="004C0BAB" w:rsidRDefault="004C0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87D3775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6C53915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</w:t>
            </w:r>
          </w:p>
        </w:tc>
      </w:tr>
      <w:tr w:rsidR="004C0BAB" w14:paraId="7A4C0ED7" w14:textId="77777777">
        <w:trPr>
          <w:gridAfter w:val="1"/>
          <w:wAfter w:w="6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3C9BE3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352C2E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Tran Le Phuong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ECBCF3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1980C1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29, 2020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6D5B15" w14:textId="77777777" w:rsidR="004C0BAB" w:rsidRDefault="004C0BA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C0BAB" w14:paraId="7B628A1A" w14:textId="77777777">
        <w:trPr>
          <w:gridAfter w:val="1"/>
          <w:wAfter w:w="6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E2429E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22929F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Phan Thu Huong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5FB4D4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A90566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29, 2020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4118D6" w14:textId="77777777" w:rsidR="004C0BAB" w:rsidRDefault="004C0BA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C0BAB" w14:paraId="2B798C05" w14:textId="77777777">
        <w:trPr>
          <w:gridAfter w:val="1"/>
          <w:wAfter w:w="6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5908C6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B25B31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Ms. Ly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Hoa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Lien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611050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BB98AA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29, 2020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DC9629" w14:textId="77777777" w:rsidR="004C0BAB" w:rsidRDefault="004C0BA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C0BAB" w14:paraId="213CF96E" w14:textId="77777777">
        <w:trPr>
          <w:gridAfter w:val="1"/>
          <w:wAfter w:w="6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FD6FA9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B18A0D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Le Thang Long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09DEAD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B07766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29, 2020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E17B1D" w14:textId="77777777" w:rsidR="004C0BAB" w:rsidRDefault="004C0BA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C0BAB" w14:paraId="4DC7FC47" w14:textId="77777777">
        <w:trPr>
          <w:gridAfter w:val="1"/>
          <w:wAfter w:w="6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39A809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F02827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Ms. Nguyen Thi Bich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Hanh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41338F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63FB85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29, 2020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B4FFD9" w14:textId="77777777" w:rsidR="004C0BAB" w:rsidRDefault="004C0BAB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0C25FE79" w14:textId="484FF8D6" w:rsidR="004C0BAB" w:rsidRDefault="00F969C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Resolutions/</w:t>
      </w:r>
      <w:r w:rsidR="000129C2">
        <w:rPr>
          <w:rFonts w:ascii="Arial" w:hAnsi="Arial"/>
          <w:color w:val="010000"/>
          <w:sz w:val="20"/>
        </w:rPr>
        <w:t xml:space="preserve">Board </w:t>
      </w:r>
      <w:r>
        <w:rPr>
          <w:rFonts w:ascii="Arial" w:hAnsi="Arial"/>
          <w:color w:val="010000"/>
          <w:sz w:val="20"/>
        </w:rPr>
        <w:t>Decisions (Annual Report 2023)</w:t>
      </w:r>
    </w:p>
    <w:tbl>
      <w:tblPr>
        <w:tblStyle w:val="a1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2312"/>
        <w:gridCol w:w="1526"/>
        <w:gridCol w:w="4368"/>
      </w:tblGrid>
      <w:tr w:rsidR="004C0BAB" w14:paraId="163CE6ED" w14:textId="77777777">
        <w:tc>
          <w:tcPr>
            <w:tcW w:w="8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A010CB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23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B1155D" w14:textId="112C5B7D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</w:t>
            </w:r>
            <w:r w:rsidR="003A3279">
              <w:rPr>
                <w:rFonts w:ascii="Arial" w:hAnsi="Arial"/>
                <w:color w:val="010000"/>
                <w:sz w:val="20"/>
              </w:rPr>
              <w:t xml:space="preserve">rd Resolution/Board Decision 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8D4D8D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43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E4FFFA" w14:textId="6DBE769E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3A3279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4C0BAB" w14:paraId="28AF3672" w14:textId="77777777">
        <w:tc>
          <w:tcPr>
            <w:tcW w:w="8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73C20D" w14:textId="77777777" w:rsidR="004C0BAB" w:rsidRDefault="004C0B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E85027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0703/2023/NQ-HDQT-VEFAC JSC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7C36E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07, 2023</w:t>
            </w:r>
          </w:p>
        </w:tc>
        <w:tc>
          <w:tcPr>
            <w:tcW w:w="43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F135F2" w14:textId="5B35F005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Postpone the Annual </w:t>
            </w:r>
            <w:r w:rsidR="003A3279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2023.</w:t>
            </w:r>
          </w:p>
        </w:tc>
      </w:tr>
      <w:tr w:rsidR="004C0BAB" w14:paraId="12978DC2" w14:textId="77777777">
        <w:tc>
          <w:tcPr>
            <w:tcW w:w="8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C8695C" w14:textId="77777777" w:rsidR="004C0BAB" w:rsidRDefault="004C0B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7EE63B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303/2023/NQ-HDQT-VEFAC JSC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535048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30, 2023</w:t>
            </w:r>
          </w:p>
        </w:tc>
        <w:tc>
          <w:tcPr>
            <w:tcW w:w="43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3BB4E5" w14:textId="7424FA64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recording of the list of shareholders to exercise the rights to attend the Annual </w:t>
            </w:r>
            <w:r w:rsidR="003A3279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2023.</w:t>
            </w:r>
          </w:p>
        </w:tc>
      </w:tr>
      <w:tr w:rsidR="004C0BAB" w14:paraId="515ACE00" w14:textId="77777777">
        <w:tc>
          <w:tcPr>
            <w:tcW w:w="8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2619C6" w14:textId="77777777" w:rsidR="004C0BAB" w:rsidRDefault="004C0B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B7BA03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0405/2023/NQ-HDQT-VEFAC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67F350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04, 2023</w:t>
            </w:r>
          </w:p>
        </w:tc>
        <w:tc>
          <w:tcPr>
            <w:tcW w:w="43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EDFEF4" w14:textId="6F78CB37" w:rsidR="004C0BAB" w:rsidRDefault="00F969CF" w:rsidP="003A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</w:t>
            </w:r>
            <w:r w:rsidR="003A3279">
              <w:rPr>
                <w:rFonts w:ascii="Arial" w:hAnsi="Arial"/>
                <w:color w:val="010000"/>
                <w:sz w:val="20"/>
              </w:rPr>
              <w:t>convening</w:t>
            </w:r>
            <w:r>
              <w:rPr>
                <w:rFonts w:ascii="Arial" w:hAnsi="Arial"/>
                <w:color w:val="010000"/>
                <w:sz w:val="20"/>
              </w:rPr>
              <w:t xml:space="preserve">, </w:t>
            </w:r>
            <w:r w:rsidR="003A3279">
              <w:rPr>
                <w:rFonts w:ascii="Arial" w:hAnsi="Arial"/>
                <w:color w:val="010000"/>
                <w:sz w:val="20"/>
              </w:rPr>
              <w:t>agenda and materials of</w:t>
            </w:r>
            <w:r>
              <w:rPr>
                <w:rFonts w:ascii="Arial" w:hAnsi="Arial"/>
                <w:color w:val="010000"/>
                <w:sz w:val="20"/>
              </w:rPr>
              <w:t xml:space="preserve"> the Company's Annual </w:t>
            </w:r>
            <w:r w:rsidR="003A3279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2023.</w:t>
            </w:r>
          </w:p>
        </w:tc>
      </w:tr>
      <w:tr w:rsidR="004C0BAB" w14:paraId="6A8C5B41" w14:textId="77777777">
        <w:tc>
          <w:tcPr>
            <w:tcW w:w="8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9DBD7A" w14:textId="77777777" w:rsidR="004C0BAB" w:rsidRDefault="004C0B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7AC53D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2109A/2023/NQ-HDQT-VEFAC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ED9FCA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21, 2023</w:t>
            </w:r>
          </w:p>
        </w:tc>
        <w:tc>
          <w:tcPr>
            <w:tcW w:w="43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17A7C8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implementation of the Plan of public offering; Plan to use capital obtained from the issuance</w:t>
            </w:r>
          </w:p>
        </w:tc>
      </w:tr>
      <w:tr w:rsidR="004C0BAB" w14:paraId="6D41FD6E" w14:textId="77777777">
        <w:tc>
          <w:tcPr>
            <w:tcW w:w="8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95B4EA" w14:textId="77777777" w:rsidR="004C0BAB" w:rsidRDefault="004C0B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4A48D9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2109B/2023/NQ-HDQT-VEFAC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D9B6D9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21, 2023</w:t>
            </w:r>
          </w:p>
        </w:tc>
        <w:tc>
          <w:tcPr>
            <w:tcW w:w="43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489327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dossier for public offering</w:t>
            </w:r>
          </w:p>
        </w:tc>
      </w:tr>
      <w:tr w:rsidR="004C0BAB" w14:paraId="02DF06B2" w14:textId="77777777">
        <w:tc>
          <w:tcPr>
            <w:tcW w:w="8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A462FE" w14:textId="77777777" w:rsidR="004C0BAB" w:rsidRDefault="004C0B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7671D5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2109C/2023/NQ-HDQT-VEFAC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F9BDC4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21, 2023</w:t>
            </w:r>
          </w:p>
        </w:tc>
        <w:tc>
          <w:tcPr>
            <w:tcW w:w="43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F1C353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plan to ensure the share issuance to meet the regulations on foreign ownership rate</w:t>
            </w:r>
          </w:p>
        </w:tc>
      </w:tr>
      <w:tr w:rsidR="004C0BAB" w14:paraId="4707486D" w14:textId="77777777">
        <w:tc>
          <w:tcPr>
            <w:tcW w:w="8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108F57" w14:textId="77777777" w:rsidR="004C0BAB" w:rsidRDefault="004C0B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57CAAF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0510/2023/NQ-HDQT-VEFAC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077065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05, 2023</w:t>
            </w:r>
          </w:p>
        </w:tc>
        <w:tc>
          <w:tcPr>
            <w:tcW w:w="43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6F9DD9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strategy and business plan targets for Q4/2023</w:t>
            </w:r>
          </w:p>
        </w:tc>
      </w:tr>
    </w:tbl>
    <w:p w14:paraId="7D725915" w14:textId="7BE000B6" w:rsidR="004C0BAB" w:rsidRDefault="00F969C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Supervisory Board (Annual Report 2023)</w:t>
      </w:r>
    </w:p>
    <w:p w14:paraId="26D07284" w14:textId="77777777" w:rsidR="004C0BAB" w:rsidRDefault="00F969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Supervisory Board:</w:t>
      </w:r>
    </w:p>
    <w:tbl>
      <w:tblPr>
        <w:tblStyle w:val="a2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2422"/>
        <w:gridCol w:w="1527"/>
        <w:gridCol w:w="2251"/>
        <w:gridCol w:w="2087"/>
      </w:tblGrid>
      <w:tr w:rsidR="004C0BAB" w14:paraId="08A5C5E8" w14:textId="77777777">
        <w:tc>
          <w:tcPr>
            <w:tcW w:w="730" w:type="dxa"/>
            <w:shd w:val="clear" w:color="auto" w:fill="auto"/>
            <w:tcMar>
              <w:top w:w="0" w:type="dxa"/>
              <w:bottom w:w="0" w:type="dxa"/>
            </w:tcMar>
          </w:tcPr>
          <w:p w14:paraId="25C5FD68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422" w:type="dxa"/>
            <w:shd w:val="clear" w:color="auto" w:fill="auto"/>
            <w:tcMar>
              <w:top w:w="0" w:type="dxa"/>
              <w:bottom w:w="0" w:type="dxa"/>
            </w:tcMar>
          </w:tcPr>
          <w:p w14:paraId="37975540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1527" w:type="dxa"/>
            <w:shd w:val="clear" w:color="auto" w:fill="auto"/>
            <w:tcMar>
              <w:top w:w="0" w:type="dxa"/>
              <w:bottom w:w="0" w:type="dxa"/>
            </w:tcMar>
          </w:tcPr>
          <w:p w14:paraId="43AE4341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2251" w:type="dxa"/>
            <w:shd w:val="clear" w:color="auto" w:fill="auto"/>
            <w:tcMar>
              <w:top w:w="0" w:type="dxa"/>
              <w:bottom w:w="0" w:type="dxa"/>
            </w:tcMar>
          </w:tcPr>
          <w:p w14:paraId="0F56E7A3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2087" w:type="dxa"/>
            <w:shd w:val="clear" w:color="auto" w:fill="auto"/>
            <w:tcMar>
              <w:top w:w="0" w:type="dxa"/>
              <w:bottom w:w="0" w:type="dxa"/>
            </w:tcMar>
          </w:tcPr>
          <w:p w14:paraId="14011596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</w:tr>
      <w:tr w:rsidR="004C0BAB" w14:paraId="3636EBC7" w14:textId="77777777">
        <w:tc>
          <w:tcPr>
            <w:tcW w:w="7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A6016A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4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9118D3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Van Thi Hai Ha</w:t>
            </w:r>
          </w:p>
        </w:tc>
        <w:tc>
          <w:tcPr>
            <w:tcW w:w="15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721DE9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</w:t>
            </w:r>
          </w:p>
        </w:tc>
        <w:tc>
          <w:tcPr>
            <w:tcW w:w="22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F24384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29, 2020</w:t>
            </w:r>
          </w:p>
        </w:tc>
        <w:tc>
          <w:tcPr>
            <w:tcW w:w="20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1510EC" w14:textId="139D508F" w:rsidR="004C0BAB" w:rsidRDefault="003A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F969CF">
              <w:rPr>
                <w:rFonts w:ascii="Arial" w:hAnsi="Arial"/>
                <w:color w:val="010000"/>
                <w:sz w:val="20"/>
              </w:rPr>
              <w:t xml:space="preserve"> Finance - Accounting</w:t>
            </w:r>
          </w:p>
        </w:tc>
      </w:tr>
      <w:tr w:rsidR="004C0BAB" w14:paraId="683F5CC7" w14:textId="77777777">
        <w:tc>
          <w:tcPr>
            <w:tcW w:w="7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FFF40D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4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4290DB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Nguyen Thi Thu Thuy</w:t>
            </w:r>
          </w:p>
        </w:tc>
        <w:tc>
          <w:tcPr>
            <w:tcW w:w="15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BBFE65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22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1B448D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29, 2020</w:t>
            </w:r>
          </w:p>
        </w:tc>
        <w:tc>
          <w:tcPr>
            <w:tcW w:w="20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21C996" w14:textId="41F454A8" w:rsidR="004C0BAB" w:rsidRDefault="003A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F969CF">
              <w:rPr>
                <w:rFonts w:ascii="Arial" w:hAnsi="Arial"/>
                <w:color w:val="010000"/>
                <w:sz w:val="20"/>
              </w:rPr>
              <w:t xml:space="preserve"> Finance - Accounting</w:t>
            </w:r>
          </w:p>
        </w:tc>
      </w:tr>
      <w:tr w:rsidR="004C0BAB" w14:paraId="157B58A7" w14:textId="77777777">
        <w:tc>
          <w:tcPr>
            <w:tcW w:w="7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D71D9A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4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977896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Le Thi Ha</w:t>
            </w:r>
          </w:p>
        </w:tc>
        <w:tc>
          <w:tcPr>
            <w:tcW w:w="15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F9CB97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22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042311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06, 2022</w:t>
            </w:r>
          </w:p>
        </w:tc>
        <w:tc>
          <w:tcPr>
            <w:tcW w:w="20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C21A65" w14:textId="75856A1E" w:rsidR="004C0BAB" w:rsidRDefault="003A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F969CF">
              <w:rPr>
                <w:rFonts w:ascii="Arial" w:hAnsi="Arial"/>
                <w:color w:val="010000"/>
                <w:sz w:val="20"/>
              </w:rPr>
              <w:t xml:space="preserve"> Financial - Accounting</w:t>
            </w:r>
          </w:p>
        </w:tc>
      </w:tr>
    </w:tbl>
    <w:p w14:paraId="3804CED8" w14:textId="7181BCE1" w:rsidR="004C0BAB" w:rsidRDefault="00F969C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3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Executive Board</w:t>
      </w:r>
    </w:p>
    <w:tbl>
      <w:tblPr>
        <w:tblStyle w:val="a3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3423"/>
        <w:gridCol w:w="1381"/>
        <w:gridCol w:w="2132"/>
        <w:gridCol w:w="1428"/>
      </w:tblGrid>
      <w:tr w:rsidR="004C0BAB" w14:paraId="224AF918" w14:textId="77777777">
        <w:tc>
          <w:tcPr>
            <w:tcW w:w="6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7FF595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34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FD290C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Executive Board</w:t>
            </w:r>
          </w:p>
        </w:tc>
        <w:tc>
          <w:tcPr>
            <w:tcW w:w="13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1C9BFC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21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98D83A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14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AC266C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</w:tr>
      <w:tr w:rsidR="004C0BAB" w14:paraId="43F38222" w14:textId="77777777">
        <w:tc>
          <w:tcPr>
            <w:tcW w:w="6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42CAF0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34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701C05" w14:textId="72EE2105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Ms. Ly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Hoa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Lien - </w:t>
            </w:r>
            <w:r w:rsidR="003A3279"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  <w:tc>
          <w:tcPr>
            <w:tcW w:w="13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EFECEA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January 23,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1973</w:t>
            </w:r>
          </w:p>
        </w:tc>
        <w:tc>
          <w:tcPr>
            <w:tcW w:w="21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60CBF0" w14:textId="12782345" w:rsidR="004C0BAB" w:rsidRDefault="003A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Bachelor in</w:t>
            </w:r>
            <w:r w:rsidR="00F969CF">
              <w:rPr>
                <w:rFonts w:ascii="Arial" w:hAnsi="Arial"/>
                <w:color w:val="010000"/>
                <w:sz w:val="20"/>
              </w:rPr>
              <w:t xml:space="preserve"> Economics </w:t>
            </w:r>
            <w:r w:rsidR="00F969CF">
              <w:rPr>
                <w:rFonts w:ascii="Arial" w:hAnsi="Arial"/>
                <w:color w:val="010000"/>
                <w:sz w:val="20"/>
              </w:rPr>
              <w:lastRenderedPageBreak/>
              <w:t>and Languages</w:t>
            </w:r>
          </w:p>
        </w:tc>
        <w:tc>
          <w:tcPr>
            <w:tcW w:w="14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7C847E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March 22, 2017</w:t>
            </w:r>
          </w:p>
        </w:tc>
      </w:tr>
      <w:tr w:rsidR="004C0BAB" w14:paraId="4919287B" w14:textId="77777777">
        <w:tc>
          <w:tcPr>
            <w:tcW w:w="6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D41A35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34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FE4FFA" w14:textId="227CCA9A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Ms. Nguyen Thi Bich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Hanh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- Deputy </w:t>
            </w:r>
            <w:r w:rsidR="003A3279"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  <w:tc>
          <w:tcPr>
            <w:tcW w:w="138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4EF2E0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06, 1968</w:t>
            </w:r>
          </w:p>
        </w:tc>
        <w:tc>
          <w:tcPr>
            <w:tcW w:w="21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C85909" w14:textId="2E7CD3C8" w:rsidR="004C0BAB" w:rsidRDefault="003A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F969CF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  <w:tc>
          <w:tcPr>
            <w:tcW w:w="14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0C8A0F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20, 2020</w:t>
            </w:r>
          </w:p>
        </w:tc>
      </w:tr>
    </w:tbl>
    <w:p w14:paraId="6532D803" w14:textId="77777777" w:rsidR="004C0BAB" w:rsidRDefault="00F969C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3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Chief Accountant</w:t>
      </w:r>
    </w:p>
    <w:tbl>
      <w:tblPr>
        <w:tblStyle w:val="a4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9"/>
        <w:gridCol w:w="1928"/>
        <w:gridCol w:w="2447"/>
        <w:gridCol w:w="1843"/>
      </w:tblGrid>
      <w:tr w:rsidR="004C0BAB" w14:paraId="678F8BC7" w14:textId="77777777">
        <w:tc>
          <w:tcPr>
            <w:tcW w:w="27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95E96B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19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289127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24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5527E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4A96FF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</w:tr>
      <w:tr w:rsidR="004C0BAB" w14:paraId="4C6F0B51" w14:textId="77777777">
        <w:tc>
          <w:tcPr>
            <w:tcW w:w="27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F234A7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Doan Thi Bich Ngoc</w:t>
            </w:r>
          </w:p>
        </w:tc>
        <w:tc>
          <w:tcPr>
            <w:tcW w:w="19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DA9899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05, 1977</w:t>
            </w:r>
          </w:p>
        </w:tc>
        <w:tc>
          <w:tcPr>
            <w:tcW w:w="24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1D0CAF" w14:textId="6510E371" w:rsidR="004C0BAB" w:rsidRDefault="003A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F969CF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7C6D03" w14:textId="77777777" w:rsidR="004C0BAB" w:rsidRDefault="00F9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22, 2020</w:t>
            </w:r>
          </w:p>
        </w:tc>
      </w:tr>
    </w:tbl>
    <w:p w14:paraId="5B120CBF" w14:textId="77777777" w:rsidR="004C0BAB" w:rsidRDefault="00F969CF" w:rsidP="003A3279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Training on corporate governance.</w:t>
      </w:r>
    </w:p>
    <w:p w14:paraId="5E7FF1EC" w14:textId="51BACF9B" w:rsidR="004C0BAB" w:rsidRDefault="00F969CF" w:rsidP="003A327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List of </w:t>
      </w:r>
      <w:r w:rsidR="003A3279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public company (Annual Report 2023) and transactions between </w:t>
      </w:r>
      <w:r w:rsidR="003A3279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 and the Company itself:</w:t>
      </w:r>
    </w:p>
    <w:p w14:paraId="6D70D235" w14:textId="7FABBCED" w:rsidR="004C0BAB" w:rsidRDefault="00F969CF" w:rsidP="003A32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</w:t>
      </w:r>
      <w:r w:rsidR="003A3279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Company, or between the Company and </w:t>
      </w:r>
      <w:r w:rsidR="003A3279">
        <w:rPr>
          <w:rFonts w:ascii="Arial" w:hAnsi="Arial"/>
          <w:color w:val="010000"/>
          <w:sz w:val="20"/>
        </w:rPr>
        <w:t>principal</w:t>
      </w:r>
      <w:bookmarkStart w:id="0" w:name="_GoBack"/>
      <w:bookmarkEnd w:id="0"/>
      <w:r>
        <w:rPr>
          <w:rFonts w:ascii="Arial" w:hAnsi="Arial"/>
          <w:color w:val="010000"/>
          <w:sz w:val="20"/>
        </w:rPr>
        <w:t xml:space="preserve"> shareholders, PDMR, or </w:t>
      </w:r>
      <w:r w:rsidR="003A3279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PDMR: None</w:t>
      </w:r>
    </w:p>
    <w:p w14:paraId="1C3D358A" w14:textId="652F806A" w:rsidR="004C0BAB" w:rsidRDefault="00F969CF" w:rsidP="003A32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Company’s PDMR, </w:t>
      </w:r>
      <w:r w:rsidR="003A3279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and subsidiaries, companies controlled by the Company: None</w:t>
      </w:r>
    </w:p>
    <w:p w14:paraId="733BB364" w14:textId="77777777" w:rsidR="004C0BAB" w:rsidRDefault="00F969CF" w:rsidP="003A32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other entities</w:t>
      </w:r>
    </w:p>
    <w:p w14:paraId="545DEF60" w14:textId="1BE93B9F" w:rsidR="004C0BAB" w:rsidRDefault="00F969CF" w:rsidP="003A32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companies in which members of the Board of Directors, member</w:t>
      </w:r>
      <w:r w:rsidR="003A3279">
        <w:rPr>
          <w:rFonts w:ascii="Arial" w:hAnsi="Arial"/>
          <w:color w:val="010000"/>
          <w:sz w:val="20"/>
        </w:rPr>
        <w:t>s of the Supervisory Board or Managing Director</w:t>
      </w:r>
      <w:r>
        <w:rPr>
          <w:rFonts w:ascii="Arial" w:hAnsi="Arial"/>
          <w:color w:val="010000"/>
          <w:sz w:val="20"/>
        </w:rPr>
        <w:t xml:space="preserve"> have been founding members or memb</w:t>
      </w:r>
      <w:r w:rsidR="003A3279">
        <w:rPr>
          <w:rFonts w:ascii="Arial" w:hAnsi="Arial"/>
          <w:color w:val="010000"/>
          <w:sz w:val="20"/>
        </w:rPr>
        <w:t>ers of the Board of Directors and</w:t>
      </w:r>
      <w:r>
        <w:rPr>
          <w:rFonts w:ascii="Arial" w:hAnsi="Arial"/>
          <w:color w:val="010000"/>
          <w:sz w:val="20"/>
        </w:rPr>
        <w:t xml:space="preserve"> </w:t>
      </w:r>
      <w:r w:rsidR="003A3279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 for the past 3 years (as at the </w:t>
      </w:r>
      <w:r w:rsidR="003A3279">
        <w:rPr>
          <w:rFonts w:ascii="Arial" w:hAnsi="Arial"/>
          <w:color w:val="010000"/>
          <w:sz w:val="20"/>
        </w:rPr>
        <w:t>date</w:t>
      </w:r>
      <w:r>
        <w:rPr>
          <w:rFonts w:ascii="Arial" w:hAnsi="Arial"/>
          <w:color w:val="010000"/>
          <w:sz w:val="20"/>
        </w:rPr>
        <w:t xml:space="preserve"> of reporting): None</w:t>
      </w:r>
    </w:p>
    <w:p w14:paraId="32B50D05" w14:textId="11221371" w:rsidR="004C0BAB" w:rsidRDefault="00F969CF" w:rsidP="003A32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companies in which </w:t>
      </w:r>
      <w:r w:rsidR="003A3279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members of the Board of Directors, members of the Supervisory Board and </w:t>
      </w:r>
      <w:r w:rsidR="003A3279">
        <w:rPr>
          <w:rFonts w:ascii="Arial" w:hAnsi="Arial"/>
          <w:color w:val="010000"/>
          <w:sz w:val="20"/>
        </w:rPr>
        <w:t>Managing Director who</w:t>
      </w:r>
      <w:r>
        <w:rPr>
          <w:rFonts w:ascii="Arial" w:hAnsi="Arial"/>
          <w:color w:val="010000"/>
          <w:sz w:val="20"/>
        </w:rPr>
        <w:t xml:space="preserve"> are members of the Board of Directors</w:t>
      </w:r>
      <w:r w:rsidR="003A3279">
        <w:rPr>
          <w:rFonts w:ascii="Arial" w:hAnsi="Arial"/>
          <w:color w:val="010000"/>
          <w:sz w:val="20"/>
        </w:rPr>
        <w:t xml:space="preserve"> or</w:t>
      </w:r>
      <w:r>
        <w:rPr>
          <w:rFonts w:ascii="Arial" w:hAnsi="Arial"/>
          <w:color w:val="010000"/>
          <w:sz w:val="20"/>
        </w:rPr>
        <w:t xml:space="preserve"> </w:t>
      </w:r>
      <w:r w:rsidR="003A3279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: None</w:t>
      </w:r>
    </w:p>
    <w:p w14:paraId="66C135CE" w14:textId="5AAFED85" w:rsidR="004C0BAB" w:rsidRDefault="00F969CF" w:rsidP="003A32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transactions of the Company (if any) that can bring material or non-material benefits to members of the Board of Directors, m</w:t>
      </w:r>
      <w:r w:rsidR="003A3279">
        <w:rPr>
          <w:rFonts w:ascii="Arial" w:hAnsi="Arial"/>
          <w:color w:val="010000"/>
          <w:sz w:val="20"/>
        </w:rPr>
        <w:t>embers of the Supervisory Board</w:t>
      </w:r>
      <w:r>
        <w:rPr>
          <w:rFonts w:ascii="Arial" w:hAnsi="Arial"/>
          <w:color w:val="010000"/>
          <w:sz w:val="20"/>
        </w:rPr>
        <w:t xml:space="preserve"> and </w:t>
      </w:r>
      <w:r w:rsidR="003A3279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: None</w:t>
      </w:r>
    </w:p>
    <w:p w14:paraId="1D3A1A7F" w14:textId="1BC06414" w:rsidR="004C0BAB" w:rsidRDefault="00F969CF" w:rsidP="003A327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Share transactions of PDMR and </w:t>
      </w:r>
      <w:r w:rsidR="003A3279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(Report of 2023)</w:t>
      </w:r>
    </w:p>
    <w:p w14:paraId="59173AE0" w14:textId="373C3564" w:rsidR="004C0BAB" w:rsidRDefault="00F969CF" w:rsidP="003A32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of PDMR and </w:t>
      </w:r>
      <w:r w:rsidR="003A3279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related to the Company’s shares: None</w:t>
      </w:r>
    </w:p>
    <w:p w14:paraId="40965E7D" w14:textId="0B2A5F07" w:rsidR="004C0BAB" w:rsidRPr="0013571D" w:rsidRDefault="00F969CF" w:rsidP="003A327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significant issues: None</w:t>
      </w:r>
    </w:p>
    <w:sectPr w:rsidR="004C0BAB" w:rsidRPr="0013571D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6BD"/>
    <w:multiLevelType w:val="multilevel"/>
    <w:tmpl w:val="24F41B6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22651"/>
    <w:multiLevelType w:val="multilevel"/>
    <w:tmpl w:val="784EEAF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DFD56ED"/>
    <w:multiLevelType w:val="multilevel"/>
    <w:tmpl w:val="1EF6399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63E0340"/>
    <w:multiLevelType w:val="multilevel"/>
    <w:tmpl w:val="98FA5D7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6D4797B"/>
    <w:multiLevelType w:val="multilevel"/>
    <w:tmpl w:val="901E332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9CA35A0"/>
    <w:multiLevelType w:val="multilevel"/>
    <w:tmpl w:val="E80A4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B304F"/>
    <w:multiLevelType w:val="multilevel"/>
    <w:tmpl w:val="0D142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AB"/>
    <w:rsid w:val="000129C2"/>
    <w:rsid w:val="0013571D"/>
    <w:rsid w:val="003A3279"/>
    <w:rsid w:val="004C0BAB"/>
    <w:rsid w:val="00F9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24A03"/>
  <w15:docId w15:val="{146BDA3A-3DA5-44A9-B75B-90705662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724"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pPr>
      <w:jc w:val="right"/>
    </w:pPr>
    <w:rPr>
      <w:rFonts w:ascii="Arial" w:eastAsia="Arial" w:hAnsi="Arial" w:cs="Arial"/>
      <w:i/>
      <w:iCs/>
      <w:sz w:val="32"/>
      <w:szCs w:val="32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180" w:lineRule="auto"/>
      <w:ind w:firstLine="300"/>
    </w:pPr>
    <w:rPr>
      <w:rFonts w:ascii="Arial" w:eastAsia="Arial" w:hAnsi="Arial" w:cs="Arial"/>
      <w:sz w:val="8"/>
      <w:szCs w:val="8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efac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NJVH1tJh214IkAA5U9VsVSMu7g==">CgMxLjA4AHIhMWtIc25SaEtlYmJBdjhjc0FSZlFqSEM4djROMEIzNlds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2024-02-20T02:38:00Z</dcterms:created>
  <dcterms:modified xsi:type="dcterms:W3CDTF">2024-02-20T02:38:00Z</dcterms:modified>
</cp:coreProperties>
</file>