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1E56" w:rsidRPr="00103652" w:rsidRDefault="00DE1575" w:rsidP="00DE157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103652">
        <w:rPr>
          <w:rFonts w:ascii="Arial" w:hAnsi="Arial" w:cs="Arial"/>
          <w:b/>
          <w:color w:val="010000"/>
          <w:sz w:val="20"/>
        </w:rPr>
        <w:t>TDB: Board Decision</w:t>
      </w:r>
    </w:p>
    <w:p w14:paraId="00000002" w14:textId="77777777" w:rsidR="00B61E56" w:rsidRPr="00103652" w:rsidRDefault="00DE1575" w:rsidP="00DE157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3652">
        <w:rPr>
          <w:rFonts w:ascii="Arial" w:hAnsi="Arial" w:cs="Arial"/>
          <w:color w:val="010000"/>
          <w:sz w:val="20"/>
        </w:rPr>
        <w:t xml:space="preserve">On February 19, 2024, Dinh </w:t>
      </w:r>
      <w:proofErr w:type="spellStart"/>
      <w:r w:rsidRPr="00103652">
        <w:rPr>
          <w:rFonts w:ascii="Arial" w:hAnsi="Arial" w:cs="Arial"/>
          <w:color w:val="010000"/>
          <w:sz w:val="20"/>
        </w:rPr>
        <w:t>Binh</w:t>
      </w:r>
      <w:proofErr w:type="spellEnd"/>
      <w:r w:rsidRPr="00103652">
        <w:rPr>
          <w:rFonts w:ascii="Arial" w:hAnsi="Arial" w:cs="Arial"/>
          <w:color w:val="010000"/>
          <w:sz w:val="20"/>
        </w:rPr>
        <w:t xml:space="preserve"> Hydro Power Joint Stock Company announced Decision No. 07/2024/</w:t>
      </w:r>
      <w:proofErr w:type="spellStart"/>
      <w:r w:rsidRPr="00103652">
        <w:rPr>
          <w:rFonts w:ascii="Arial" w:hAnsi="Arial" w:cs="Arial"/>
          <w:color w:val="010000"/>
          <w:sz w:val="20"/>
        </w:rPr>
        <w:t>QD-HDQT</w:t>
      </w:r>
      <w:proofErr w:type="spellEnd"/>
      <w:r w:rsidRPr="00103652">
        <w:rPr>
          <w:rFonts w:ascii="Arial" w:hAnsi="Arial" w:cs="Arial"/>
          <w:color w:val="010000"/>
          <w:sz w:val="20"/>
        </w:rPr>
        <w:t xml:space="preserve"> on convening the Annual General Meeting of Shareholders 2024 as follows:</w:t>
      </w:r>
    </w:p>
    <w:p w14:paraId="00000003" w14:textId="77777777" w:rsidR="00B61E56" w:rsidRPr="00103652" w:rsidRDefault="00DE1575" w:rsidP="00DE157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3652">
        <w:rPr>
          <w:rFonts w:ascii="Arial" w:hAnsi="Arial" w:cs="Arial"/>
          <w:color w:val="010000"/>
          <w:sz w:val="20"/>
        </w:rPr>
        <w:t>‎‎Article 1. Approve convening the Annual General Meeting of Shareholders 2024 with the following contents:</w:t>
      </w:r>
    </w:p>
    <w:p w14:paraId="00000004" w14:textId="3734EB1A" w:rsidR="00B61E56" w:rsidRPr="00103652" w:rsidRDefault="00DE1575" w:rsidP="00DE1575">
      <w:pPr>
        <w:numPr>
          <w:ilvl w:val="0"/>
          <w:numId w:val="1"/>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103652">
        <w:rPr>
          <w:rFonts w:ascii="Arial" w:hAnsi="Arial" w:cs="Arial"/>
          <w:color w:val="010000"/>
          <w:sz w:val="20"/>
        </w:rPr>
        <w:t>Record date to attend the Annual General Meeting of Shareholders: March 21, 2024</w:t>
      </w:r>
      <w:r w:rsidR="003D4E10" w:rsidRPr="00103652">
        <w:rPr>
          <w:rFonts w:ascii="Arial" w:hAnsi="Arial" w:cs="Arial"/>
          <w:color w:val="010000"/>
          <w:sz w:val="20"/>
        </w:rPr>
        <w:t>.</w:t>
      </w:r>
    </w:p>
    <w:p w14:paraId="00000005" w14:textId="042C1F1D" w:rsidR="00B61E56" w:rsidRPr="00103652" w:rsidRDefault="00DE1575" w:rsidP="00DE1575">
      <w:pPr>
        <w:numPr>
          <w:ilvl w:val="0"/>
          <w:numId w:val="1"/>
        </w:numPr>
        <w:pBdr>
          <w:top w:val="nil"/>
          <w:left w:val="nil"/>
          <w:bottom w:val="nil"/>
          <w:right w:val="nil"/>
          <w:between w:val="nil"/>
        </w:pBdr>
        <w:tabs>
          <w:tab w:val="left" w:pos="432"/>
          <w:tab w:val="left" w:pos="788"/>
        </w:tabs>
        <w:spacing w:after="120" w:line="360" w:lineRule="auto"/>
        <w:rPr>
          <w:rFonts w:ascii="Arial" w:eastAsia="Arial" w:hAnsi="Arial" w:cs="Arial"/>
          <w:color w:val="010000"/>
          <w:sz w:val="20"/>
          <w:szCs w:val="20"/>
        </w:rPr>
      </w:pPr>
      <w:r w:rsidRPr="00103652">
        <w:rPr>
          <w:rFonts w:ascii="Arial" w:hAnsi="Arial" w:cs="Arial"/>
          <w:color w:val="010000"/>
          <w:sz w:val="20"/>
        </w:rPr>
        <w:t>Date of the General Meeting of Shareholders: April 26, 2024</w:t>
      </w:r>
      <w:r w:rsidR="003D4E10" w:rsidRPr="00103652">
        <w:rPr>
          <w:rFonts w:ascii="Arial" w:hAnsi="Arial" w:cs="Arial"/>
          <w:color w:val="010000"/>
          <w:sz w:val="20"/>
        </w:rPr>
        <w:t>.</w:t>
      </w:r>
    </w:p>
    <w:p w14:paraId="00000006" w14:textId="2BB246C5" w:rsidR="00B61E56" w:rsidRPr="00103652" w:rsidRDefault="00DE1575" w:rsidP="00DE1575">
      <w:pPr>
        <w:numPr>
          <w:ilvl w:val="0"/>
          <w:numId w:val="1"/>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sidRPr="00103652">
        <w:rPr>
          <w:rFonts w:ascii="Arial" w:hAnsi="Arial" w:cs="Arial"/>
          <w:color w:val="010000"/>
          <w:sz w:val="20"/>
        </w:rPr>
        <w:t xml:space="preserve">Venue: Hai Au Hotel - 489 </w:t>
      </w:r>
      <w:proofErr w:type="gramStart"/>
      <w:r w:rsidRPr="00103652">
        <w:rPr>
          <w:rFonts w:ascii="Arial" w:hAnsi="Arial" w:cs="Arial"/>
          <w:color w:val="010000"/>
          <w:sz w:val="20"/>
        </w:rPr>
        <w:t>An</w:t>
      </w:r>
      <w:proofErr w:type="gramEnd"/>
      <w:r w:rsidRPr="00103652">
        <w:rPr>
          <w:rFonts w:ascii="Arial" w:hAnsi="Arial" w:cs="Arial"/>
          <w:color w:val="010000"/>
          <w:sz w:val="20"/>
        </w:rPr>
        <w:t xml:space="preserve"> Duong </w:t>
      </w:r>
      <w:proofErr w:type="spellStart"/>
      <w:r w:rsidRPr="00103652">
        <w:rPr>
          <w:rFonts w:ascii="Arial" w:hAnsi="Arial" w:cs="Arial"/>
          <w:color w:val="010000"/>
          <w:sz w:val="20"/>
        </w:rPr>
        <w:t>Vuong</w:t>
      </w:r>
      <w:proofErr w:type="spellEnd"/>
      <w:r w:rsidRPr="00103652">
        <w:rPr>
          <w:rFonts w:ascii="Arial" w:hAnsi="Arial" w:cs="Arial"/>
          <w:color w:val="010000"/>
          <w:sz w:val="20"/>
        </w:rPr>
        <w:t xml:space="preserve">, </w:t>
      </w:r>
      <w:proofErr w:type="spellStart"/>
      <w:r w:rsidRPr="00103652">
        <w:rPr>
          <w:rFonts w:ascii="Arial" w:hAnsi="Arial" w:cs="Arial"/>
          <w:color w:val="010000"/>
          <w:sz w:val="20"/>
        </w:rPr>
        <w:t>Quy</w:t>
      </w:r>
      <w:proofErr w:type="spellEnd"/>
      <w:r w:rsidRPr="00103652">
        <w:rPr>
          <w:rFonts w:ascii="Arial" w:hAnsi="Arial" w:cs="Arial"/>
          <w:color w:val="010000"/>
          <w:sz w:val="20"/>
        </w:rPr>
        <w:t xml:space="preserve"> </w:t>
      </w:r>
      <w:proofErr w:type="spellStart"/>
      <w:r w:rsidRPr="00103652">
        <w:rPr>
          <w:rFonts w:ascii="Arial" w:hAnsi="Arial" w:cs="Arial"/>
          <w:color w:val="010000"/>
          <w:sz w:val="20"/>
        </w:rPr>
        <w:t>Nhon</w:t>
      </w:r>
      <w:proofErr w:type="spellEnd"/>
      <w:r w:rsidRPr="00103652">
        <w:rPr>
          <w:rFonts w:ascii="Arial" w:hAnsi="Arial" w:cs="Arial"/>
          <w:color w:val="010000"/>
          <w:sz w:val="20"/>
        </w:rPr>
        <w:t xml:space="preserve"> City, </w:t>
      </w:r>
      <w:proofErr w:type="spellStart"/>
      <w:r w:rsidRPr="00103652">
        <w:rPr>
          <w:rFonts w:ascii="Arial" w:hAnsi="Arial" w:cs="Arial"/>
          <w:color w:val="010000"/>
          <w:sz w:val="20"/>
        </w:rPr>
        <w:t>Binh</w:t>
      </w:r>
      <w:proofErr w:type="spellEnd"/>
      <w:r w:rsidRPr="00103652">
        <w:rPr>
          <w:rFonts w:ascii="Arial" w:hAnsi="Arial" w:cs="Arial"/>
          <w:color w:val="010000"/>
          <w:sz w:val="20"/>
        </w:rPr>
        <w:t xml:space="preserve"> Dinh Province</w:t>
      </w:r>
      <w:r w:rsidR="003D4E10" w:rsidRPr="00103652">
        <w:rPr>
          <w:rFonts w:ascii="Arial" w:hAnsi="Arial" w:cs="Arial"/>
          <w:color w:val="010000"/>
          <w:sz w:val="20"/>
        </w:rPr>
        <w:t>.</w:t>
      </w:r>
    </w:p>
    <w:p w14:paraId="00000007" w14:textId="77777777" w:rsidR="00B61E56" w:rsidRPr="00103652" w:rsidRDefault="00DE1575" w:rsidP="00DE1575">
      <w:pPr>
        <w:numPr>
          <w:ilvl w:val="0"/>
          <w:numId w:val="1"/>
        </w:numPr>
        <w:pBdr>
          <w:top w:val="nil"/>
          <w:left w:val="nil"/>
          <w:bottom w:val="nil"/>
          <w:right w:val="nil"/>
          <w:between w:val="nil"/>
        </w:pBdr>
        <w:tabs>
          <w:tab w:val="left" w:pos="432"/>
          <w:tab w:val="left" w:pos="788"/>
        </w:tabs>
        <w:spacing w:after="120" w:line="360" w:lineRule="auto"/>
        <w:rPr>
          <w:rFonts w:ascii="Arial" w:eastAsia="Arial" w:hAnsi="Arial" w:cs="Arial"/>
          <w:color w:val="010000"/>
          <w:sz w:val="20"/>
          <w:szCs w:val="20"/>
        </w:rPr>
      </w:pPr>
      <w:r w:rsidRPr="00103652">
        <w:rPr>
          <w:rFonts w:ascii="Arial" w:hAnsi="Arial" w:cs="Arial"/>
          <w:color w:val="010000"/>
          <w:sz w:val="20"/>
        </w:rPr>
        <w:t>Content of the General Meeting of Shareholders:</w:t>
      </w:r>
    </w:p>
    <w:p w14:paraId="00000008"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Report on production and business results in 2023 and operational plan 2024;</w:t>
      </w:r>
    </w:p>
    <w:p w14:paraId="00000009"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Audited Financial Statements 2023;</w:t>
      </w:r>
    </w:p>
    <w:p w14:paraId="0000000A"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Report of the Board of Directors;</w:t>
      </w:r>
    </w:p>
    <w:p w14:paraId="0000000B"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Report of the Supervisory Board;</w:t>
      </w:r>
    </w:p>
    <w:p w14:paraId="0000000C"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Profit distribution in 2023;</w:t>
      </w:r>
    </w:p>
    <w:p w14:paraId="0000000D"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Business plan 2024;</w:t>
      </w:r>
    </w:p>
    <w:p w14:paraId="0000000E"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Profit distribution plan 2024;</w:t>
      </w:r>
    </w:p>
    <w:p w14:paraId="0000000F"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Executive salary/remuneration for the Board of Directors and the Supervisory Board in 2024;</w:t>
      </w:r>
    </w:p>
    <w:p w14:paraId="00000010" w14:textId="77777777" w:rsidR="00B61E56" w:rsidRPr="00103652" w:rsidRDefault="00DE1575" w:rsidP="00DE1575">
      <w:pPr>
        <w:numPr>
          <w:ilvl w:val="0"/>
          <w:numId w:val="2"/>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103652">
        <w:rPr>
          <w:rFonts w:ascii="Arial" w:hAnsi="Arial" w:cs="Arial"/>
          <w:color w:val="010000"/>
          <w:sz w:val="20"/>
        </w:rPr>
        <w:t>Selection of an audit company for the Financial Statements 2024;</w:t>
      </w:r>
    </w:p>
    <w:p w14:paraId="00000011" w14:textId="77777777" w:rsidR="00B61E56" w:rsidRPr="00103652" w:rsidRDefault="00DE1575" w:rsidP="00DE157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3652">
        <w:rPr>
          <w:rFonts w:ascii="Arial" w:hAnsi="Arial" w:cs="Arial"/>
          <w:color w:val="010000"/>
          <w:sz w:val="20"/>
        </w:rPr>
        <w:t>And other contents according to work requirements, under the authority of the General Meeting of Shareholders.</w:t>
      </w:r>
    </w:p>
    <w:p w14:paraId="00000012" w14:textId="77777777" w:rsidR="00B61E56" w:rsidRPr="00103652" w:rsidRDefault="00DE1575" w:rsidP="00DE157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03652">
        <w:rPr>
          <w:rFonts w:ascii="Arial" w:hAnsi="Arial" w:cs="Arial"/>
          <w:color w:val="010000"/>
          <w:sz w:val="20"/>
        </w:rPr>
        <w:t>‎‎Article 2. Assign the Manager of the Company to disclose the information according to regulations, work with Vietnam Securities Depository and Clearing Corporation to prepare the list of shareholders with the rights to attend the Meeting, submit documents for the Board of Directors to approve and submit to the General Meeting of Shareholders, and organize the Annual General Meeting of Shareholders 2024 with correct, complete, valid, and legal content.</w:t>
      </w:r>
    </w:p>
    <w:p w14:paraId="00000013" w14:textId="77777777" w:rsidR="00B61E56" w:rsidRPr="00103652" w:rsidRDefault="00DE1575" w:rsidP="00DE1575">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B61E56" w:rsidRPr="00103652" w:rsidSect="00DE1575">
          <w:pgSz w:w="11909" w:h="16840"/>
          <w:pgMar w:top="1440" w:right="1440" w:bottom="1440" w:left="1440" w:header="0" w:footer="3" w:gutter="0"/>
          <w:pgNumType w:start="1"/>
          <w:cols w:space="720"/>
          <w:docGrid w:linePitch="326"/>
        </w:sectPr>
      </w:pPr>
      <w:r w:rsidRPr="00103652">
        <w:rPr>
          <w:rFonts w:ascii="Arial" w:hAnsi="Arial" w:cs="Arial"/>
          <w:color w:val="010000"/>
          <w:sz w:val="20"/>
        </w:rPr>
        <w:t>‎‎Article 3. This Decision takes effect from the date of its signing. The Manager of the Company, the Person in charge of governance and relevant departments of the Company shall base on the Decision to implement</w:t>
      </w:r>
      <w:proofErr w:type="gramStart"/>
      <w:r w:rsidRPr="00103652">
        <w:rPr>
          <w:rFonts w:ascii="Arial" w:hAnsi="Arial" w:cs="Arial"/>
          <w:color w:val="010000"/>
          <w:sz w:val="20"/>
        </w:rPr>
        <w:t>./</w:t>
      </w:r>
      <w:proofErr w:type="gramEnd"/>
      <w:r w:rsidRPr="00103652">
        <w:rPr>
          <w:rFonts w:ascii="Arial" w:hAnsi="Arial" w:cs="Arial"/>
          <w:color w:val="010000"/>
          <w:sz w:val="20"/>
        </w:rPr>
        <w:t>.</w:t>
      </w:r>
    </w:p>
    <w:p w14:paraId="00000014" w14:textId="77777777" w:rsidR="00B61E56" w:rsidRPr="00103652" w:rsidRDefault="00B61E56" w:rsidP="00DE1575">
      <w:pPr>
        <w:tabs>
          <w:tab w:val="left" w:pos="432"/>
        </w:tabs>
        <w:spacing w:after="120" w:line="360" w:lineRule="auto"/>
        <w:rPr>
          <w:rFonts w:ascii="Arial" w:eastAsia="Arial" w:hAnsi="Arial" w:cs="Arial"/>
          <w:color w:val="010000"/>
          <w:sz w:val="20"/>
          <w:szCs w:val="20"/>
        </w:rPr>
      </w:pPr>
    </w:p>
    <w:sectPr w:rsidR="00B61E56" w:rsidRPr="00103652" w:rsidSect="00DE1575">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83C3D"/>
    <w:multiLevelType w:val="multilevel"/>
    <w:tmpl w:val="740EAE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DBF6102"/>
    <w:multiLevelType w:val="multilevel"/>
    <w:tmpl w:val="A07AF6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6"/>
    <w:rsid w:val="00103652"/>
    <w:rsid w:val="003D4E10"/>
    <w:rsid w:val="00741EDE"/>
    <w:rsid w:val="00B61E56"/>
    <w:rsid w:val="00DE157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B4C24"/>
  <w15:docId w15:val="{4FBF0ECB-53CE-466F-B34C-D32AD80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Arial" w:eastAsia="Arial" w:hAnsi="Arial" w:cs="Arial"/>
      <w:sz w:val="26"/>
      <w:szCs w:val="26"/>
    </w:rPr>
  </w:style>
  <w:style w:type="paragraph" w:customStyle="1" w:styleId="Vnbnnidung20">
    <w:name w:val="Văn bản nội dung (2)"/>
    <w:basedOn w:val="Normal"/>
    <w:link w:val="Vnbnnidung2"/>
    <w:pPr>
      <w:spacing w:line="228" w:lineRule="auto"/>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gMMO1kaWsyh/cIIWdJ3mMgg32Q==">CgMxLjA4AHIhMXgxa01rVXVfYTY3UVVsNFlQRExWa3lnYkJpM1MxSXhI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phuochk</dc:creator>
  <cp:lastModifiedBy>Nguyen Thi Thu Giang</cp:lastModifiedBy>
  <cp:revision>2</cp:revision>
  <dcterms:created xsi:type="dcterms:W3CDTF">2024-02-21T03:30:00Z</dcterms:created>
  <dcterms:modified xsi:type="dcterms:W3CDTF">2024-02-21T03:30:00Z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03b26239ea24358f77bf5eebf7345ff6100cbab588567486797bdb922162f528</vt:lpwstr>
  </property>
</Properties>
</file>