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8677DE">
        <w:rPr>
          <w:rFonts w:ascii="Arial" w:hAnsi="Arial" w:cs="Arial"/>
          <w:b/>
          <w:color w:val="010000"/>
          <w:sz w:val="20"/>
        </w:rPr>
        <w:t>HOT: Board Resolution</w:t>
      </w:r>
    </w:p>
    <w:p w14:paraId="00000002" w14:textId="77777777"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On February 20, 2024, Hoi </w:t>
      </w:r>
      <w:proofErr w:type="gramStart"/>
      <w:r w:rsidRPr="008677DE">
        <w:rPr>
          <w:rFonts w:ascii="Arial" w:hAnsi="Arial" w:cs="Arial"/>
          <w:color w:val="010000"/>
          <w:sz w:val="20"/>
        </w:rPr>
        <w:t>An</w:t>
      </w:r>
      <w:proofErr w:type="gramEnd"/>
      <w:r w:rsidRPr="008677DE">
        <w:rPr>
          <w:rFonts w:ascii="Arial" w:hAnsi="Arial" w:cs="Arial"/>
          <w:color w:val="010000"/>
          <w:sz w:val="20"/>
        </w:rPr>
        <w:t xml:space="preserve"> Tourist Service Joint Stock Company announced Resolution No. 03/2024/NQ-HDQT as follows:</w:t>
      </w:r>
    </w:p>
    <w:p w14:paraId="00000003" w14:textId="77777777"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Article 1. Business results in 2023</w:t>
      </w:r>
    </w:p>
    <w:p w14:paraId="00000004" w14:textId="7D77505B"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Approve the </w:t>
      </w:r>
      <w:r w:rsidR="006746C4">
        <w:rPr>
          <w:rFonts w:ascii="Arial" w:hAnsi="Arial" w:cs="Arial"/>
          <w:color w:val="010000"/>
          <w:sz w:val="20"/>
        </w:rPr>
        <w:t>Managing Director’s</w:t>
      </w:r>
      <w:r w:rsidRPr="008677DE">
        <w:rPr>
          <w:rFonts w:ascii="Arial" w:hAnsi="Arial" w:cs="Arial"/>
          <w:color w:val="010000"/>
          <w:sz w:val="20"/>
        </w:rPr>
        <w:t xml:space="preserve"> Report on business and management results in 2023.</w:t>
      </w:r>
    </w:p>
    <w:p w14:paraId="00000005" w14:textId="77777777"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The Board of Directors highly appreciates the efforts of the Company's Executive Board in managing and operating business activities at the unit, overcoming financial difficulties, and exceeding the plan for major financial targets in 2023, specifically:</w:t>
      </w:r>
    </w:p>
    <w:p w14:paraId="00000006" w14:textId="1127A5B4" w:rsidR="004473C3" w:rsidRPr="008677DE" w:rsidRDefault="00E1308A" w:rsidP="008677DE">
      <w:pPr>
        <w:numPr>
          <w:ilvl w:val="0"/>
          <w:numId w:val="1"/>
        </w:numPr>
        <w:pBdr>
          <w:top w:val="nil"/>
          <w:left w:val="nil"/>
          <w:bottom w:val="nil"/>
          <w:right w:val="nil"/>
          <w:between w:val="nil"/>
        </w:pBdr>
        <w:tabs>
          <w:tab w:val="left" w:pos="432"/>
          <w:tab w:val="left" w:pos="599"/>
        </w:tabs>
        <w:spacing w:after="120" w:line="360" w:lineRule="auto"/>
        <w:jc w:val="both"/>
        <w:rPr>
          <w:rFonts w:ascii="Arial" w:eastAsia="Arial" w:hAnsi="Arial" w:cs="Arial"/>
          <w:color w:val="010000"/>
          <w:sz w:val="20"/>
          <w:szCs w:val="20"/>
        </w:rPr>
      </w:pPr>
      <w:r w:rsidRPr="008677DE">
        <w:rPr>
          <w:rFonts w:ascii="Arial" w:hAnsi="Arial" w:cs="Arial"/>
          <w:color w:val="010000"/>
          <w:sz w:val="20"/>
        </w:rPr>
        <w:t>Company's total revenue</w:t>
      </w:r>
      <w:r w:rsidR="008677DE" w:rsidRPr="008677DE">
        <w:rPr>
          <w:rFonts w:ascii="Arial" w:hAnsi="Arial" w:cs="Arial"/>
          <w:color w:val="010000"/>
          <w:sz w:val="20"/>
        </w:rPr>
        <w:t xml:space="preserve">: </w:t>
      </w:r>
      <w:r w:rsidRPr="008677DE">
        <w:rPr>
          <w:rFonts w:ascii="Arial" w:hAnsi="Arial" w:cs="Arial"/>
          <w:color w:val="010000"/>
          <w:sz w:val="20"/>
        </w:rPr>
        <w:t>VND 100.96 billion (Increase of 18.9% compared to the 2023 Plan; 2.4 times higher than that of the same period last year);</w:t>
      </w:r>
    </w:p>
    <w:p w14:paraId="00000007" w14:textId="77777777" w:rsidR="004473C3" w:rsidRPr="008677DE" w:rsidRDefault="00E1308A" w:rsidP="008677DE">
      <w:pPr>
        <w:numPr>
          <w:ilvl w:val="0"/>
          <w:numId w:val="1"/>
        </w:numPr>
        <w:pBdr>
          <w:top w:val="nil"/>
          <w:left w:val="nil"/>
          <w:bottom w:val="nil"/>
          <w:right w:val="nil"/>
          <w:between w:val="nil"/>
        </w:pBdr>
        <w:tabs>
          <w:tab w:val="left" w:pos="432"/>
          <w:tab w:val="left" w:pos="599"/>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Profit from activities: VND 30.08 billion (Increase of 21.26% compared to the 2023 plan; Same period last year: VND 2.63 billion). </w:t>
      </w:r>
    </w:p>
    <w:p w14:paraId="00000008" w14:textId="77777777" w:rsidR="004473C3" w:rsidRPr="008677DE" w:rsidRDefault="00E1308A" w:rsidP="008677DE">
      <w:pPr>
        <w:numPr>
          <w:ilvl w:val="0"/>
          <w:numId w:val="1"/>
        </w:numPr>
        <w:pBdr>
          <w:top w:val="nil"/>
          <w:left w:val="nil"/>
          <w:bottom w:val="nil"/>
          <w:right w:val="nil"/>
          <w:between w:val="nil"/>
        </w:pBdr>
        <w:tabs>
          <w:tab w:val="left" w:pos="432"/>
          <w:tab w:val="left" w:pos="599"/>
        </w:tabs>
        <w:spacing w:after="120" w:line="360" w:lineRule="auto"/>
        <w:jc w:val="both"/>
        <w:rPr>
          <w:rFonts w:ascii="Arial" w:eastAsia="Arial" w:hAnsi="Arial" w:cs="Arial"/>
          <w:color w:val="010000"/>
          <w:sz w:val="20"/>
          <w:szCs w:val="20"/>
        </w:rPr>
      </w:pPr>
      <w:r w:rsidRPr="008677DE">
        <w:rPr>
          <w:rFonts w:ascii="Arial" w:hAnsi="Arial" w:cs="Arial"/>
          <w:color w:val="010000"/>
          <w:sz w:val="20"/>
        </w:rPr>
        <w:t>Profit before tax (consolidated): VND 4.57 billion (4.3 times higher than the 2023 Plan; loss of VND 16.76 billion in the same period last year).</w:t>
      </w:r>
    </w:p>
    <w:p w14:paraId="00000009" w14:textId="16EA3A6E"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Article 2. </w:t>
      </w:r>
      <w:r w:rsidR="008677DE" w:rsidRPr="008677DE">
        <w:rPr>
          <w:rFonts w:ascii="Arial" w:hAnsi="Arial" w:cs="Arial"/>
          <w:color w:val="010000"/>
          <w:sz w:val="20"/>
        </w:rPr>
        <w:t>Regarding the b</w:t>
      </w:r>
      <w:r w:rsidRPr="008677DE">
        <w:rPr>
          <w:rFonts w:ascii="Arial" w:hAnsi="Arial" w:cs="Arial"/>
          <w:color w:val="010000"/>
          <w:sz w:val="20"/>
        </w:rPr>
        <w:t>usiness plan, investment plan and major repair in 2024</w:t>
      </w:r>
    </w:p>
    <w:p w14:paraId="0000000A" w14:textId="73C0EDCF" w:rsidR="004473C3" w:rsidRPr="008677DE" w:rsidRDefault="00E1308A" w:rsidP="008677DE">
      <w:pPr>
        <w:numPr>
          <w:ilvl w:val="0"/>
          <w:numId w:val="2"/>
        </w:numPr>
        <w:pBdr>
          <w:top w:val="nil"/>
          <w:left w:val="nil"/>
          <w:bottom w:val="nil"/>
          <w:right w:val="nil"/>
          <w:between w:val="nil"/>
        </w:pBdr>
        <w:tabs>
          <w:tab w:val="left" w:pos="432"/>
          <w:tab w:val="left" w:pos="623"/>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Approve the Report on assessing the market </w:t>
      </w:r>
      <w:r w:rsidR="008677DE" w:rsidRPr="008677DE">
        <w:rPr>
          <w:rFonts w:ascii="Arial" w:hAnsi="Arial" w:cs="Arial"/>
          <w:color w:val="010000"/>
          <w:sz w:val="20"/>
        </w:rPr>
        <w:t>status</w:t>
      </w:r>
      <w:r w:rsidRPr="008677DE">
        <w:rPr>
          <w:rFonts w:ascii="Arial" w:hAnsi="Arial" w:cs="Arial"/>
          <w:color w:val="010000"/>
          <w:sz w:val="20"/>
        </w:rPr>
        <w:t>, targets, solutions and draft business plan in 2024 of the Company's Executive Board. Accordingly, assign the Executive Board to focus on flexibly and synchronously executive management to ensure business efficiency and strive to complete main targets, specifically:</w:t>
      </w:r>
    </w:p>
    <w:p w14:paraId="0000000B" w14:textId="26AFEE26" w:rsidR="004473C3" w:rsidRPr="008677DE" w:rsidRDefault="00E1308A" w:rsidP="008677DE">
      <w:pPr>
        <w:numPr>
          <w:ilvl w:val="0"/>
          <w:numId w:val="1"/>
        </w:numPr>
        <w:pBdr>
          <w:top w:val="nil"/>
          <w:left w:val="nil"/>
          <w:bottom w:val="nil"/>
          <w:right w:val="nil"/>
          <w:between w:val="nil"/>
        </w:pBdr>
        <w:tabs>
          <w:tab w:val="left" w:pos="432"/>
          <w:tab w:val="left" w:pos="599"/>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Revenue: VND 122.5 </w:t>
      </w:r>
      <w:r w:rsidR="008677DE" w:rsidRPr="008677DE">
        <w:rPr>
          <w:rFonts w:ascii="Arial" w:hAnsi="Arial" w:cs="Arial"/>
          <w:color w:val="010000"/>
          <w:sz w:val="20"/>
        </w:rPr>
        <w:t>b</w:t>
      </w:r>
      <w:r w:rsidRPr="008677DE">
        <w:rPr>
          <w:rFonts w:ascii="Arial" w:hAnsi="Arial" w:cs="Arial"/>
          <w:color w:val="010000"/>
          <w:sz w:val="20"/>
        </w:rPr>
        <w:t>illion.</w:t>
      </w:r>
    </w:p>
    <w:p w14:paraId="0000000C" w14:textId="77777777" w:rsidR="004473C3" w:rsidRPr="008677DE" w:rsidRDefault="00E1308A" w:rsidP="008677DE">
      <w:pPr>
        <w:numPr>
          <w:ilvl w:val="0"/>
          <w:numId w:val="1"/>
        </w:numPr>
        <w:pBdr>
          <w:top w:val="nil"/>
          <w:left w:val="nil"/>
          <w:bottom w:val="nil"/>
          <w:right w:val="nil"/>
          <w:between w:val="nil"/>
        </w:pBdr>
        <w:tabs>
          <w:tab w:val="left" w:pos="432"/>
          <w:tab w:val="left" w:pos="599"/>
        </w:tabs>
        <w:spacing w:after="120" w:line="360" w:lineRule="auto"/>
        <w:jc w:val="both"/>
        <w:rPr>
          <w:rFonts w:ascii="Arial" w:eastAsia="Arial" w:hAnsi="Arial" w:cs="Arial"/>
          <w:color w:val="010000"/>
          <w:sz w:val="20"/>
          <w:szCs w:val="20"/>
        </w:rPr>
      </w:pPr>
      <w:r w:rsidRPr="008677DE">
        <w:rPr>
          <w:rFonts w:ascii="Arial" w:hAnsi="Arial" w:cs="Arial"/>
          <w:color w:val="010000"/>
          <w:sz w:val="20"/>
        </w:rPr>
        <w:t>Profit before tax (consolidated): VND 4.64 billion</w:t>
      </w:r>
    </w:p>
    <w:p w14:paraId="0000000D" w14:textId="77777777"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(The plan has not considered changes in tax policies arising in 2024).</w:t>
      </w:r>
    </w:p>
    <w:p w14:paraId="0000000E" w14:textId="51ABF2E4" w:rsidR="004473C3" w:rsidRPr="008677DE" w:rsidRDefault="008677DE" w:rsidP="008677DE">
      <w:pPr>
        <w:numPr>
          <w:ilvl w:val="0"/>
          <w:numId w:val="2"/>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8677DE">
        <w:rPr>
          <w:rFonts w:ascii="Arial" w:hAnsi="Arial" w:cs="Arial"/>
          <w:color w:val="010000"/>
          <w:sz w:val="20"/>
        </w:rPr>
        <w:t>Approve</w:t>
      </w:r>
      <w:r w:rsidR="00E1308A" w:rsidRPr="008677DE">
        <w:rPr>
          <w:rFonts w:ascii="Arial" w:hAnsi="Arial" w:cs="Arial"/>
          <w:color w:val="010000"/>
          <w:sz w:val="20"/>
        </w:rPr>
        <w:t xml:space="preserve"> on the </w:t>
      </w:r>
      <w:r w:rsidRPr="008677DE">
        <w:rPr>
          <w:rFonts w:ascii="Arial" w:hAnsi="Arial" w:cs="Arial"/>
          <w:color w:val="010000"/>
          <w:sz w:val="20"/>
        </w:rPr>
        <w:t>p</w:t>
      </w:r>
      <w:r w:rsidR="00E1308A" w:rsidRPr="008677DE">
        <w:rPr>
          <w:rFonts w:ascii="Arial" w:hAnsi="Arial" w:cs="Arial"/>
          <w:color w:val="010000"/>
          <w:sz w:val="20"/>
        </w:rPr>
        <w:t>lan for investment - major repair - fixed asset procurement and Proposal No. 20/2024/</w:t>
      </w:r>
      <w:proofErr w:type="spellStart"/>
      <w:r w:rsidR="00E1308A" w:rsidRPr="008677DE">
        <w:rPr>
          <w:rFonts w:ascii="Arial" w:hAnsi="Arial" w:cs="Arial"/>
          <w:color w:val="010000"/>
          <w:sz w:val="20"/>
        </w:rPr>
        <w:t>TTr</w:t>
      </w:r>
      <w:proofErr w:type="spellEnd"/>
      <w:r w:rsidR="00E1308A" w:rsidRPr="008677DE">
        <w:rPr>
          <w:rFonts w:ascii="Arial" w:hAnsi="Arial" w:cs="Arial"/>
          <w:color w:val="010000"/>
          <w:sz w:val="20"/>
        </w:rPr>
        <w:t>-CT dated January 26, 2024 of the Executive Board on loan solutions for investment and asset upgrading purposes.</w:t>
      </w:r>
    </w:p>
    <w:p w14:paraId="0000000F" w14:textId="6552BBE0" w:rsidR="004473C3" w:rsidRPr="008677DE" w:rsidRDefault="00E1308A" w:rsidP="008677DE">
      <w:pPr>
        <w:numPr>
          <w:ilvl w:val="0"/>
          <w:numId w:val="2"/>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8677DE">
        <w:rPr>
          <w:rFonts w:ascii="Arial" w:hAnsi="Arial" w:cs="Arial"/>
          <w:color w:val="010000"/>
          <w:sz w:val="20"/>
        </w:rPr>
        <w:t>The Executive Board completes the draft plan for business, investment - major repair - fixed asset procurement to submit to the Annual General Meeting 2024.</w:t>
      </w:r>
    </w:p>
    <w:p w14:paraId="00000011" w14:textId="544CDB02"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Article 3. Remuneration plan for the Board of Directors</w:t>
      </w:r>
      <w:r w:rsidR="008677DE" w:rsidRPr="008677DE">
        <w:rPr>
          <w:rFonts w:ascii="Arial" w:hAnsi="Arial" w:cs="Arial"/>
          <w:color w:val="010000"/>
          <w:sz w:val="20"/>
        </w:rPr>
        <w:t xml:space="preserve"> and</w:t>
      </w:r>
      <w:r w:rsidR="006746C4">
        <w:rPr>
          <w:rFonts w:ascii="Arial" w:hAnsi="Arial" w:cs="Arial"/>
          <w:color w:val="010000"/>
          <w:sz w:val="20"/>
        </w:rPr>
        <w:t xml:space="preserve"> </w:t>
      </w:r>
      <w:r w:rsidRPr="008677DE">
        <w:rPr>
          <w:rFonts w:ascii="Arial" w:hAnsi="Arial" w:cs="Arial"/>
          <w:color w:val="010000"/>
          <w:sz w:val="20"/>
        </w:rPr>
        <w:t>Supervisory Board and income for the Executive Board in 2024</w:t>
      </w:r>
    </w:p>
    <w:p w14:paraId="00000012" w14:textId="4173C170" w:rsidR="004473C3" w:rsidRPr="008677DE" w:rsidRDefault="008677DE" w:rsidP="008677DE">
      <w:pPr>
        <w:numPr>
          <w:ilvl w:val="0"/>
          <w:numId w:val="3"/>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8677DE">
        <w:rPr>
          <w:rFonts w:ascii="Arial" w:hAnsi="Arial" w:cs="Arial"/>
          <w:color w:val="010000"/>
          <w:sz w:val="20"/>
        </w:rPr>
        <w:t>Approve</w:t>
      </w:r>
      <w:r w:rsidR="00E1308A" w:rsidRPr="008677DE">
        <w:rPr>
          <w:rFonts w:ascii="Arial" w:hAnsi="Arial" w:cs="Arial"/>
          <w:color w:val="010000"/>
          <w:sz w:val="20"/>
        </w:rPr>
        <w:t xml:space="preserve"> on remuneration plan for the Board of Directors and the Supervisory Board in 2024 (increase of 9% compared to that of 2023). Assign the C</w:t>
      </w:r>
      <w:r w:rsidR="006746C4">
        <w:rPr>
          <w:rFonts w:ascii="Arial" w:hAnsi="Arial" w:cs="Arial"/>
          <w:color w:val="010000"/>
          <w:sz w:val="20"/>
        </w:rPr>
        <w:t>ompany's Executive Board and</w:t>
      </w:r>
      <w:r w:rsidR="00E1308A" w:rsidRPr="008677DE">
        <w:rPr>
          <w:rFonts w:ascii="Arial" w:hAnsi="Arial" w:cs="Arial"/>
          <w:color w:val="010000"/>
          <w:sz w:val="20"/>
        </w:rPr>
        <w:t xml:space="preserve"> Secretariat of the Board of Directors to quickly complete </w:t>
      </w:r>
      <w:r w:rsidRPr="008677DE">
        <w:rPr>
          <w:rFonts w:ascii="Arial" w:hAnsi="Arial" w:cs="Arial"/>
          <w:color w:val="010000"/>
          <w:sz w:val="20"/>
        </w:rPr>
        <w:t>dossiers</w:t>
      </w:r>
      <w:r w:rsidR="00E1308A" w:rsidRPr="008677DE">
        <w:rPr>
          <w:rFonts w:ascii="Arial" w:hAnsi="Arial" w:cs="Arial"/>
          <w:color w:val="010000"/>
          <w:sz w:val="20"/>
        </w:rPr>
        <w:t xml:space="preserve"> to submit to the Annual General Meeting 2024 for approval.</w:t>
      </w:r>
    </w:p>
    <w:p w14:paraId="00000013" w14:textId="0F998569" w:rsidR="004473C3" w:rsidRPr="008677DE" w:rsidRDefault="008677DE" w:rsidP="008677DE">
      <w:pPr>
        <w:numPr>
          <w:ilvl w:val="0"/>
          <w:numId w:val="3"/>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8677DE">
        <w:rPr>
          <w:rFonts w:ascii="Arial" w:hAnsi="Arial" w:cs="Arial"/>
          <w:color w:val="010000"/>
          <w:sz w:val="20"/>
        </w:rPr>
        <w:t>Approve</w:t>
      </w:r>
      <w:r w:rsidR="00E1308A" w:rsidRPr="008677DE">
        <w:rPr>
          <w:rFonts w:ascii="Arial" w:hAnsi="Arial" w:cs="Arial"/>
          <w:color w:val="010000"/>
          <w:sz w:val="20"/>
        </w:rPr>
        <w:t xml:space="preserve"> on Proposal on income for the Executive Board in 2024 No. 198/2023/</w:t>
      </w:r>
      <w:proofErr w:type="spellStart"/>
      <w:r w:rsidR="00E1308A" w:rsidRPr="008677DE">
        <w:rPr>
          <w:rFonts w:ascii="Arial" w:hAnsi="Arial" w:cs="Arial"/>
          <w:color w:val="010000"/>
          <w:sz w:val="20"/>
        </w:rPr>
        <w:t>TTr</w:t>
      </w:r>
      <w:proofErr w:type="spellEnd"/>
      <w:r w:rsidR="00E1308A" w:rsidRPr="008677DE">
        <w:rPr>
          <w:rFonts w:ascii="Arial" w:hAnsi="Arial" w:cs="Arial"/>
          <w:color w:val="010000"/>
          <w:sz w:val="20"/>
        </w:rPr>
        <w:t xml:space="preserve">-CT dated </w:t>
      </w:r>
      <w:r w:rsidR="00E1308A" w:rsidRPr="008677DE">
        <w:rPr>
          <w:rFonts w:ascii="Arial" w:hAnsi="Arial" w:cs="Arial"/>
          <w:color w:val="010000"/>
          <w:sz w:val="20"/>
        </w:rPr>
        <w:lastRenderedPageBreak/>
        <w:t>December 27, 2023.</w:t>
      </w:r>
    </w:p>
    <w:p w14:paraId="00000014" w14:textId="77F8D155"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Article 4. </w:t>
      </w:r>
      <w:r w:rsidR="008677DE" w:rsidRPr="008677DE">
        <w:rPr>
          <w:rFonts w:ascii="Arial" w:hAnsi="Arial" w:cs="Arial"/>
          <w:color w:val="010000"/>
          <w:sz w:val="20"/>
        </w:rPr>
        <w:t>Regarding the o</w:t>
      </w:r>
      <w:r w:rsidRPr="008677DE">
        <w:rPr>
          <w:rFonts w:ascii="Arial" w:hAnsi="Arial" w:cs="Arial"/>
          <w:color w:val="010000"/>
          <w:sz w:val="20"/>
        </w:rPr>
        <w:t>rganization of the Annual General Meeting of Shareholders 2024</w:t>
      </w:r>
    </w:p>
    <w:p w14:paraId="00000015" w14:textId="3D2496D8" w:rsidR="004473C3" w:rsidRPr="008677DE" w:rsidRDefault="008677DE"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Approve</w:t>
      </w:r>
      <w:r w:rsidR="00E1308A" w:rsidRPr="008677DE">
        <w:rPr>
          <w:rFonts w:ascii="Arial" w:hAnsi="Arial" w:cs="Arial"/>
          <w:color w:val="010000"/>
          <w:sz w:val="20"/>
        </w:rPr>
        <w:t xml:space="preserve"> on the time to organize the Company's Annual General Meeting of Shareholders in April 2024.</w:t>
      </w:r>
    </w:p>
    <w:p w14:paraId="00000016" w14:textId="37553A12" w:rsidR="004473C3" w:rsidRPr="008677DE" w:rsidRDefault="00E1308A" w:rsidP="008677DE">
      <w:pPr>
        <w:pBdr>
          <w:top w:val="nil"/>
          <w:left w:val="nil"/>
          <w:bottom w:val="nil"/>
          <w:right w:val="nil"/>
          <w:between w:val="nil"/>
        </w:pBdr>
        <w:tabs>
          <w:tab w:val="left" w:pos="432"/>
          <w:tab w:val="left" w:pos="9168"/>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Assign the Executive Board to </w:t>
      </w:r>
      <w:r w:rsidR="008677DE" w:rsidRPr="008677DE">
        <w:rPr>
          <w:rFonts w:ascii="Arial" w:hAnsi="Arial" w:cs="Arial"/>
          <w:color w:val="010000"/>
          <w:sz w:val="20"/>
        </w:rPr>
        <w:t>carry out</w:t>
      </w:r>
      <w:r w:rsidRPr="008677DE">
        <w:rPr>
          <w:rFonts w:ascii="Arial" w:hAnsi="Arial" w:cs="Arial"/>
          <w:color w:val="010000"/>
          <w:sz w:val="20"/>
        </w:rPr>
        <w:t xml:space="preserve"> procedures </w:t>
      </w:r>
      <w:r w:rsidR="006746C4">
        <w:rPr>
          <w:rFonts w:ascii="Arial" w:hAnsi="Arial" w:cs="Arial"/>
          <w:color w:val="010000"/>
          <w:sz w:val="20"/>
        </w:rPr>
        <w:t>under applicable laws</w:t>
      </w:r>
      <w:r w:rsidRPr="008677DE">
        <w:rPr>
          <w:rFonts w:ascii="Arial" w:hAnsi="Arial" w:cs="Arial"/>
          <w:color w:val="010000"/>
          <w:sz w:val="20"/>
        </w:rPr>
        <w:t xml:space="preserve">. Members of the Board of Directors, the Supervisory Board and the Executive Board of the Company quickly complete relevant reports, carefully prepare report content on </w:t>
      </w:r>
      <w:r w:rsidR="006746C4">
        <w:rPr>
          <w:rFonts w:ascii="Arial" w:hAnsi="Arial" w:cs="Arial"/>
          <w:color w:val="010000"/>
          <w:sz w:val="20"/>
        </w:rPr>
        <w:t>time, and disclose information under applicable laws.</w:t>
      </w:r>
    </w:p>
    <w:p w14:paraId="00000017" w14:textId="77777777" w:rsidR="004473C3" w:rsidRPr="008677DE" w:rsidRDefault="00E1308A" w:rsidP="008677D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Article 5: Terms of enforcement</w:t>
      </w:r>
    </w:p>
    <w:p w14:paraId="00000018" w14:textId="2996F110"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Members o</w:t>
      </w:r>
      <w:r w:rsidR="006746C4">
        <w:rPr>
          <w:rFonts w:ascii="Arial" w:hAnsi="Arial" w:cs="Arial"/>
          <w:color w:val="010000"/>
          <w:sz w:val="20"/>
        </w:rPr>
        <w:t>f the Board of Directors and</w:t>
      </w:r>
      <w:r w:rsidRPr="008677DE">
        <w:rPr>
          <w:rFonts w:ascii="Arial" w:hAnsi="Arial" w:cs="Arial"/>
          <w:color w:val="010000"/>
          <w:sz w:val="20"/>
        </w:rPr>
        <w:t xml:space="preserve"> Executive Board are responsible for implementing this Resolution </w:t>
      </w:r>
      <w:r w:rsidR="006746C4">
        <w:rPr>
          <w:rFonts w:ascii="Arial" w:hAnsi="Arial" w:cs="Arial"/>
          <w:color w:val="010000"/>
          <w:sz w:val="20"/>
        </w:rPr>
        <w:t>as per current</w:t>
      </w:r>
      <w:r w:rsidRPr="008677DE">
        <w:rPr>
          <w:rFonts w:ascii="Arial" w:hAnsi="Arial" w:cs="Arial"/>
          <w:color w:val="010000"/>
          <w:sz w:val="20"/>
        </w:rPr>
        <w:t xml:space="preserve"> regulations.</w:t>
      </w:r>
    </w:p>
    <w:p w14:paraId="00000019" w14:textId="140F8D95" w:rsidR="004473C3" w:rsidRPr="008677DE" w:rsidRDefault="00E1308A" w:rsidP="008677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677DE">
        <w:rPr>
          <w:rFonts w:ascii="Arial" w:hAnsi="Arial" w:cs="Arial"/>
          <w:color w:val="010000"/>
          <w:sz w:val="20"/>
        </w:rPr>
        <w:t xml:space="preserve">This </w:t>
      </w:r>
      <w:r w:rsidR="006746C4">
        <w:rPr>
          <w:rFonts w:ascii="Arial" w:hAnsi="Arial" w:cs="Arial"/>
          <w:color w:val="010000"/>
          <w:sz w:val="20"/>
        </w:rPr>
        <w:t xml:space="preserve">Board </w:t>
      </w:r>
      <w:bookmarkStart w:id="1" w:name="_GoBack"/>
      <w:bookmarkEnd w:id="1"/>
      <w:r w:rsidRPr="008677DE">
        <w:rPr>
          <w:rFonts w:ascii="Arial" w:hAnsi="Arial" w:cs="Arial"/>
          <w:color w:val="010000"/>
          <w:sz w:val="20"/>
        </w:rPr>
        <w:t>Resolution takes effect from the date of its signing.</w:t>
      </w:r>
      <w:r w:rsidR="008677DE" w:rsidRPr="008677DE">
        <w:rPr>
          <w:rFonts w:ascii="Arial" w:hAnsi="Arial" w:cs="Arial"/>
          <w:color w:val="010000"/>
          <w:sz w:val="20"/>
        </w:rPr>
        <w:t>/.</w:t>
      </w:r>
    </w:p>
    <w:sectPr w:rsidR="004473C3" w:rsidRPr="008677DE" w:rsidSect="002763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6925"/>
    <w:multiLevelType w:val="multilevel"/>
    <w:tmpl w:val="F058F4D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172009B"/>
    <w:multiLevelType w:val="multilevel"/>
    <w:tmpl w:val="DF4C28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7B52902"/>
    <w:multiLevelType w:val="multilevel"/>
    <w:tmpl w:val="C22ED6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C3"/>
    <w:rsid w:val="00276341"/>
    <w:rsid w:val="004473C3"/>
    <w:rsid w:val="006746C4"/>
    <w:rsid w:val="008677DE"/>
    <w:rsid w:val="00E1308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6B6"/>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141218"/>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F2F32"/>
      <w:sz w:val="18"/>
      <w:szCs w:val="1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color w:val="1A245D"/>
      <w:sz w:val="18"/>
      <w:szCs w:val="18"/>
      <w:u w:val="none"/>
      <w:shd w:val="clear" w:color="auto" w:fill="auto"/>
    </w:rPr>
  </w:style>
  <w:style w:type="paragraph" w:customStyle="1" w:styleId="Vnbnnidung0">
    <w:name w:val="Văn bản nội dung"/>
    <w:basedOn w:val="Normal"/>
    <w:link w:val="Vnbnnidung"/>
    <w:pPr>
      <w:spacing w:line="334" w:lineRule="auto"/>
      <w:ind w:firstLine="180"/>
    </w:pPr>
    <w:rPr>
      <w:rFonts w:ascii="Times New Roman" w:eastAsia="Times New Roman" w:hAnsi="Times New Roman" w:cs="Times New Roman"/>
    </w:rPr>
  </w:style>
  <w:style w:type="paragraph" w:customStyle="1" w:styleId="Vnbnnidung60">
    <w:name w:val="Văn bản nội dung (6)"/>
    <w:basedOn w:val="Normal"/>
    <w:link w:val="Vnbnnidung6"/>
    <w:pPr>
      <w:spacing w:line="180" w:lineRule="auto"/>
      <w:jc w:val="center"/>
    </w:pPr>
    <w:rPr>
      <w:rFonts w:ascii="Arial" w:eastAsia="Arial" w:hAnsi="Arial" w:cs="Arial"/>
      <w:color w:val="141218"/>
      <w:sz w:val="10"/>
      <w:szCs w:val="10"/>
    </w:rPr>
  </w:style>
  <w:style w:type="paragraph" w:customStyle="1" w:styleId="Vnbnnidung20">
    <w:name w:val="Văn bản nội dung (2)"/>
    <w:basedOn w:val="Normal"/>
    <w:link w:val="Vnbnnidung2"/>
    <w:pPr>
      <w:spacing w:line="338" w:lineRule="auto"/>
      <w:ind w:left="3060" w:firstLine="300"/>
    </w:pPr>
    <w:rPr>
      <w:rFonts w:ascii="Times New Roman" w:eastAsia="Times New Roman" w:hAnsi="Times New Roman" w:cs="Times New Roman"/>
      <w:color w:val="2F2F32"/>
      <w:sz w:val="18"/>
      <w:szCs w:val="18"/>
    </w:rPr>
  </w:style>
  <w:style w:type="paragraph" w:customStyle="1" w:styleId="Tiu30">
    <w:name w:val="Tiêu đề #3"/>
    <w:basedOn w:val="Normal"/>
    <w:link w:val="Tiu3"/>
    <w:pPr>
      <w:spacing w:line="276" w:lineRule="auto"/>
      <w:ind w:firstLine="270"/>
      <w:jc w:val="center"/>
      <w:outlineLvl w:val="2"/>
    </w:pPr>
    <w:rPr>
      <w:rFonts w:ascii="Times New Roman" w:eastAsia="Times New Roman" w:hAnsi="Times New Roman" w:cs="Times New Roman"/>
      <w:b/>
      <w:bCs/>
      <w:sz w:val="26"/>
      <w:szCs w:val="26"/>
    </w:rPr>
  </w:style>
  <w:style w:type="paragraph" w:customStyle="1" w:styleId="Tiu10">
    <w:name w:val="Tiêu đề #1"/>
    <w:basedOn w:val="Normal"/>
    <w:link w:val="Tiu1"/>
    <w:pPr>
      <w:ind w:left="3740"/>
      <w:outlineLvl w:val="0"/>
    </w:pPr>
    <w:rPr>
      <w:rFonts w:ascii="Times New Roman" w:eastAsia="Times New Roman" w:hAnsi="Times New Roman" w:cs="Times New Roman"/>
      <w:b/>
      <w:bCs/>
      <w:sz w:val="32"/>
      <w:szCs w:val="32"/>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28"/>
      <w:szCs w:val="28"/>
    </w:rPr>
  </w:style>
  <w:style w:type="paragraph" w:customStyle="1" w:styleId="Tiu20">
    <w:name w:val="Tiêu đề #2"/>
    <w:basedOn w:val="Normal"/>
    <w:link w:val="Tiu2"/>
    <w:pPr>
      <w:spacing w:line="269" w:lineRule="auto"/>
      <w:jc w:val="center"/>
      <w:outlineLvl w:val="1"/>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ind w:firstLine="140"/>
    </w:pPr>
    <w:rPr>
      <w:rFonts w:ascii="Times New Roman" w:eastAsia="Times New Roman" w:hAnsi="Times New Roman" w:cs="Times New Roman"/>
      <w:sz w:val="20"/>
      <w:szCs w:val="20"/>
    </w:rPr>
  </w:style>
  <w:style w:type="paragraph" w:customStyle="1" w:styleId="Vnbnnidung50">
    <w:name w:val="Văn bản nội dung (5)"/>
    <w:basedOn w:val="Normal"/>
    <w:link w:val="Vnbnnidung5"/>
    <w:pPr>
      <w:ind w:firstLine="140"/>
    </w:pPr>
    <w:rPr>
      <w:rFonts w:ascii="Arial" w:eastAsia="Arial" w:hAnsi="Arial" w:cs="Arial"/>
      <w:strike/>
      <w:color w:val="1A245D"/>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tS9G1Pdq93LkiXuUADGSgE16A==">CgMxLjAyCGguZ2pkZ3hzOAByITFqaHBkMFRFZG9kYTNZWXNVWXpHQ19DNDZkcHprMEdZOQ==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2024-02-22T04:28:00Z</dcterms:created>
  <dcterms:modified xsi:type="dcterms:W3CDTF">2024-02-22T04:28:00Z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eb6334313c6c369a03fb292c28364b6dd3dd482b4f14e01ecc317d593bf26eb1</vt:lpwstr>
  </property>
</Properties>
</file>