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32DF6" w14:textId="0C253D8C" w:rsidR="005C3E09" w:rsidRPr="00BF3207" w:rsidRDefault="00440765" w:rsidP="00445570">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LPT: Explanation on </w:t>
      </w:r>
      <w:bookmarkStart w:id="0" w:name="_GoBack"/>
      <w:bookmarkEnd w:id="0"/>
      <w:r w:rsidR="00F16FD4" w:rsidRPr="00BF3207">
        <w:rPr>
          <w:rFonts w:ascii="Arial" w:hAnsi="Arial" w:cs="Arial"/>
          <w:b/>
          <w:color w:val="010000"/>
          <w:sz w:val="20"/>
        </w:rPr>
        <w:t>Financial Statements 2023</w:t>
      </w:r>
    </w:p>
    <w:p w14:paraId="63F70C3C" w14:textId="46E7ADFD" w:rsidR="005C3E09" w:rsidRPr="00BF3207" w:rsidRDefault="00F16FD4" w:rsidP="00445570">
      <w:pPr>
        <w:pBdr>
          <w:top w:val="nil"/>
          <w:left w:val="nil"/>
          <w:bottom w:val="nil"/>
          <w:right w:val="nil"/>
          <w:between w:val="nil"/>
        </w:pBdr>
        <w:spacing w:after="120" w:line="360" w:lineRule="auto"/>
        <w:jc w:val="both"/>
        <w:rPr>
          <w:rFonts w:ascii="Arial" w:eastAsia="Arial" w:hAnsi="Arial" w:cs="Arial"/>
          <w:color w:val="010000"/>
          <w:sz w:val="20"/>
          <w:szCs w:val="20"/>
        </w:rPr>
      </w:pPr>
      <w:r w:rsidRPr="00BF3207">
        <w:rPr>
          <w:rFonts w:ascii="Arial" w:hAnsi="Arial" w:cs="Arial"/>
          <w:color w:val="010000"/>
          <w:sz w:val="20"/>
        </w:rPr>
        <w:t xml:space="preserve">On February 16, 2024, Lap Phuong Thanh Production </w:t>
      </w:r>
      <w:proofErr w:type="gramStart"/>
      <w:r w:rsidRPr="00BF3207">
        <w:rPr>
          <w:rFonts w:ascii="Arial" w:hAnsi="Arial" w:cs="Arial"/>
          <w:color w:val="010000"/>
          <w:sz w:val="20"/>
        </w:rPr>
        <w:t>And</w:t>
      </w:r>
      <w:proofErr w:type="gramEnd"/>
      <w:r w:rsidRPr="00BF3207">
        <w:rPr>
          <w:rFonts w:ascii="Arial" w:hAnsi="Arial" w:cs="Arial"/>
          <w:color w:val="010000"/>
          <w:sz w:val="20"/>
        </w:rPr>
        <w:t xml:space="preserve"> Trading Joint Stock Company announced Official Dispatch No. 16/2024/CV-LPT on explaining the </w:t>
      </w:r>
      <w:r w:rsidR="00945152" w:rsidRPr="00BF3207">
        <w:rPr>
          <w:rFonts w:ascii="Arial" w:hAnsi="Arial" w:cs="Arial"/>
          <w:color w:val="010000"/>
          <w:sz w:val="20"/>
        </w:rPr>
        <w:t xml:space="preserve">Audited </w:t>
      </w:r>
      <w:r w:rsidRPr="00BF3207">
        <w:rPr>
          <w:rFonts w:ascii="Arial" w:hAnsi="Arial" w:cs="Arial"/>
          <w:color w:val="010000"/>
          <w:sz w:val="20"/>
        </w:rPr>
        <w:t>Financial Statements 2023 as follows:</w:t>
      </w:r>
    </w:p>
    <w:p w14:paraId="179D50C9" w14:textId="77777777" w:rsidR="005C3E09" w:rsidRPr="00BF3207" w:rsidRDefault="00F16FD4" w:rsidP="0044557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3207">
        <w:rPr>
          <w:rFonts w:ascii="Arial" w:hAnsi="Arial" w:cs="Arial"/>
          <w:color w:val="010000"/>
          <w:sz w:val="20"/>
        </w:rPr>
        <w:t>Difference in profit after tax in 2023 compared to that of 2022:</w:t>
      </w:r>
    </w:p>
    <w:tbl>
      <w:tblPr>
        <w:tblStyle w:val="a"/>
        <w:tblW w:w="5000" w:type="pct"/>
        <w:tblLook w:val="0400" w:firstRow="0" w:lastRow="0" w:firstColumn="0" w:lastColumn="0" w:noHBand="0" w:noVBand="1"/>
      </w:tblPr>
      <w:tblGrid>
        <w:gridCol w:w="2220"/>
        <w:gridCol w:w="1937"/>
        <w:gridCol w:w="1934"/>
        <w:gridCol w:w="1952"/>
        <w:gridCol w:w="976"/>
      </w:tblGrid>
      <w:tr w:rsidR="005C3E09" w:rsidRPr="00BF3207" w14:paraId="2AFE2184" w14:textId="77777777" w:rsidTr="00F16FD4">
        <w:tc>
          <w:tcPr>
            <w:tcW w:w="1231" w:type="pct"/>
            <w:vMerge w:val="restart"/>
            <w:tcBorders>
              <w:top w:val="single" w:sz="4" w:space="0" w:color="000000"/>
              <w:left w:val="single" w:sz="4" w:space="0" w:color="000000"/>
            </w:tcBorders>
            <w:shd w:val="clear" w:color="auto" w:fill="auto"/>
            <w:tcMar>
              <w:top w:w="0" w:type="dxa"/>
              <w:bottom w:w="0" w:type="dxa"/>
            </w:tcMar>
            <w:vAlign w:val="center"/>
          </w:tcPr>
          <w:p w14:paraId="0930F395"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Target</w:t>
            </w:r>
          </w:p>
        </w:tc>
        <w:tc>
          <w:tcPr>
            <w:tcW w:w="1074" w:type="pct"/>
            <w:vMerge w:val="restart"/>
            <w:tcBorders>
              <w:top w:val="single" w:sz="4" w:space="0" w:color="000000"/>
              <w:left w:val="single" w:sz="4" w:space="0" w:color="000000"/>
            </w:tcBorders>
            <w:shd w:val="clear" w:color="auto" w:fill="auto"/>
            <w:tcMar>
              <w:top w:w="0" w:type="dxa"/>
              <w:bottom w:w="0" w:type="dxa"/>
            </w:tcMar>
            <w:vAlign w:val="center"/>
          </w:tcPr>
          <w:p w14:paraId="35FD5653"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2023 (VND)</w:t>
            </w:r>
          </w:p>
        </w:tc>
        <w:tc>
          <w:tcPr>
            <w:tcW w:w="1072" w:type="pct"/>
            <w:vMerge w:val="restart"/>
            <w:tcBorders>
              <w:top w:val="single" w:sz="4" w:space="0" w:color="000000"/>
              <w:left w:val="single" w:sz="4" w:space="0" w:color="000000"/>
            </w:tcBorders>
            <w:shd w:val="clear" w:color="auto" w:fill="auto"/>
            <w:tcMar>
              <w:top w:w="0" w:type="dxa"/>
              <w:bottom w:w="0" w:type="dxa"/>
            </w:tcMar>
            <w:vAlign w:val="center"/>
          </w:tcPr>
          <w:p w14:paraId="52E574A9"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2022 (VND)</w:t>
            </w:r>
          </w:p>
        </w:tc>
        <w:tc>
          <w:tcPr>
            <w:tcW w:w="162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B94E50"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Increase/Decrease</w:t>
            </w:r>
          </w:p>
        </w:tc>
      </w:tr>
      <w:tr w:rsidR="005C3E09" w:rsidRPr="00BF3207" w14:paraId="3A1E5388" w14:textId="77777777" w:rsidTr="00F16FD4">
        <w:tc>
          <w:tcPr>
            <w:tcW w:w="1231" w:type="pct"/>
            <w:vMerge/>
            <w:tcBorders>
              <w:top w:val="single" w:sz="4" w:space="0" w:color="000000"/>
              <w:left w:val="single" w:sz="4" w:space="0" w:color="000000"/>
            </w:tcBorders>
            <w:shd w:val="clear" w:color="auto" w:fill="auto"/>
            <w:tcMar>
              <w:top w:w="0" w:type="dxa"/>
              <w:bottom w:w="0" w:type="dxa"/>
            </w:tcMar>
            <w:vAlign w:val="center"/>
          </w:tcPr>
          <w:p w14:paraId="72587F3F" w14:textId="77777777" w:rsidR="005C3E09" w:rsidRPr="00BF3207" w:rsidRDefault="005C3E09" w:rsidP="00F16FD4">
            <w:pPr>
              <w:pBdr>
                <w:top w:val="nil"/>
                <w:left w:val="nil"/>
                <w:bottom w:val="nil"/>
                <w:right w:val="nil"/>
                <w:between w:val="nil"/>
              </w:pBdr>
              <w:spacing w:after="120" w:line="360" w:lineRule="auto"/>
              <w:rPr>
                <w:rFonts w:ascii="Arial" w:eastAsia="Arial" w:hAnsi="Arial" w:cs="Arial"/>
                <w:color w:val="010000"/>
                <w:sz w:val="20"/>
                <w:szCs w:val="20"/>
              </w:rPr>
            </w:pPr>
          </w:p>
        </w:tc>
        <w:tc>
          <w:tcPr>
            <w:tcW w:w="1074" w:type="pct"/>
            <w:vMerge/>
            <w:tcBorders>
              <w:top w:val="single" w:sz="4" w:space="0" w:color="000000"/>
              <w:left w:val="single" w:sz="4" w:space="0" w:color="000000"/>
            </w:tcBorders>
            <w:shd w:val="clear" w:color="auto" w:fill="auto"/>
            <w:tcMar>
              <w:top w:w="0" w:type="dxa"/>
              <w:bottom w:w="0" w:type="dxa"/>
            </w:tcMar>
            <w:vAlign w:val="center"/>
          </w:tcPr>
          <w:p w14:paraId="481679DD" w14:textId="77777777" w:rsidR="005C3E09" w:rsidRPr="00BF3207" w:rsidRDefault="005C3E09" w:rsidP="00F16FD4">
            <w:pPr>
              <w:pBdr>
                <w:top w:val="nil"/>
                <w:left w:val="nil"/>
                <w:bottom w:val="nil"/>
                <w:right w:val="nil"/>
                <w:between w:val="nil"/>
              </w:pBdr>
              <w:spacing w:after="120" w:line="360" w:lineRule="auto"/>
              <w:rPr>
                <w:rFonts w:ascii="Arial" w:eastAsia="Arial" w:hAnsi="Arial" w:cs="Arial"/>
                <w:color w:val="010000"/>
                <w:sz w:val="20"/>
                <w:szCs w:val="20"/>
              </w:rPr>
            </w:pPr>
          </w:p>
        </w:tc>
        <w:tc>
          <w:tcPr>
            <w:tcW w:w="1072" w:type="pct"/>
            <w:vMerge/>
            <w:tcBorders>
              <w:top w:val="single" w:sz="4" w:space="0" w:color="000000"/>
              <w:left w:val="single" w:sz="4" w:space="0" w:color="000000"/>
            </w:tcBorders>
            <w:shd w:val="clear" w:color="auto" w:fill="auto"/>
            <w:tcMar>
              <w:top w:w="0" w:type="dxa"/>
              <w:bottom w:w="0" w:type="dxa"/>
            </w:tcMar>
            <w:vAlign w:val="center"/>
          </w:tcPr>
          <w:p w14:paraId="214DF55E" w14:textId="77777777" w:rsidR="005C3E09" w:rsidRPr="00BF3207" w:rsidRDefault="005C3E09" w:rsidP="00F16FD4">
            <w:pPr>
              <w:pBdr>
                <w:top w:val="nil"/>
                <w:left w:val="nil"/>
                <w:bottom w:val="nil"/>
                <w:right w:val="nil"/>
                <w:between w:val="nil"/>
              </w:pBdr>
              <w:spacing w:after="120" w:line="360" w:lineRule="auto"/>
              <w:rPr>
                <w:rFonts w:ascii="Arial" w:eastAsia="Arial" w:hAnsi="Arial" w:cs="Arial"/>
                <w:color w:val="010000"/>
                <w:sz w:val="20"/>
                <w:szCs w:val="20"/>
              </w:rPr>
            </w:pPr>
          </w:p>
        </w:tc>
        <w:tc>
          <w:tcPr>
            <w:tcW w:w="1082" w:type="pct"/>
            <w:tcBorders>
              <w:top w:val="single" w:sz="4" w:space="0" w:color="000000"/>
              <w:left w:val="single" w:sz="4" w:space="0" w:color="000000"/>
            </w:tcBorders>
            <w:shd w:val="clear" w:color="auto" w:fill="auto"/>
            <w:tcMar>
              <w:top w:w="0" w:type="dxa"/>
              <w:bottom w:w="0" w:type="dxa"/>
            </w:tcMar>
            <w:vAlign w:val="center"/>
          </w:tcPr>
          <w:p w14:paraId="46CAE812"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Value (VND)</w:t>
            </w:r>
          </w:p>
        </w:tc>
        <w:tc>
          <w:tcPr>
            <w:tcW w:w="5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35DAF8"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w:t>
            </w:r>
          </w:p>
        </w:tc>
      </w:tr>
      <w:tr w:rsidR="005C3E09" w:rsidRPr="00BF3207" w14:paraId="57947F68" w14:textId="77777777" w:rsidTr="00F16FD4">
        <w:tc>
          <w:tcPr>
            <w:tcW w:w="1231" w:type="pct"/>
            <w:tcBorders>
              <w:top w:val="single" w:sz="4" w:space="0" w:color="000000"/>
              <w:left w:val="single" w:sz="4" w:space="0" w:color="000000"/>
            </w:tcBorders>
            <w:shd w:val="clear" w:color="auto" w:fill="auto"/>
            <w:tcMar>
              <w:top w:w="0" w:type="dxa"/>
              <w:bottom w:w="0" w:type="dxa"/>
            </w:tcMar>
            <w:vAlign w:val="center"/>
          </w:tcPr>
          <w:p w14:paraId="38775090"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Net revenue</w:t>
            </w:r>
          </w:p>
        </w:tc>
        <w:tc>
          <w:tcPr>
            <w:tcW w:w="1074" w:type="pct"/>
            <w:tcBorders>
              <w:top w:val="single" w:sz="4" w:space="0" w:color="000000"/>
              <w:left w:val="single" w:sz="4" w:space="0" w:color="000000"/>
            </w:tcBorders>
            <w:shd w:val="clear" w:color="auto" w:fill="auto"/>
            <w:tcMar>
              <w:top w:w="0" w:type="dxa"/>
              <w:bottom w:w="0" w:type="dxa"/>
            </w:tcMar>
            <w:vAlign w:val="center"/>
          </w:tcPr>
          <w:p w14:paraId="545A7B14"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346,752,452,570</w:t>
            </w:r>
          </w:p>
        </w:tc>
        <w:tc>
          <w:tcPr>
            <w:tcW w:w="1072" w:type="pct"/>
            <w:tcBorders>
              <w:top w:val="single" w:sz="4" w:space="0" w:color="000000"/>
              <w:left w:val="single" w:sz="4" w:space="0" w:color="000000"/>
            </w:tcBorders>
            <w:shd w:val="clear" w:color="auto" w:fill="auto"/>
            <w:tcMar>
              <w:top w:w="0" w:type="dxa"/>
              <w:bottom w:w="0" w:type="dxa"/>
            </w:tcMar>
            <w:vAlign w:val="center"/>
          </w:tcPr>
          <w:p w14:paraId="2E309525"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235,417,546,186</w:t>
            </w:r>
          </w:p>
        </w:tc>
        <w:tc>
          <w:tcPr>
            <w:tcW w:w="1082" w:type="pct"/>
            <w:tcBorders>
              <w:top w:val="single" w:sz="4" w:space="0" w:color="000000"/>
              <w:left w:val="single" w:sz="4" w:space="0" w:color="000000"/>
            </w:tcBorders>
            <w:shd w:val="clear" w:color="auto" w:fill="auto"/>
            <w:tcMar>
              <w:top w:w="0" w:type="dxa"/>
              <w:bottom w:w="0" w:type="dxa"/>
            </w:tcMar>
            <w:vAlign w:val="center"/>
          </w:tcPr>
          <w:p w14:paraId="18D66EFB"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111,334,906,384</w:t>
            </w:r>
          </w:p>
        </w:tc>
        <w:tc>
          <w:tcPr>
            <w:tcW w:w="5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6C520C"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47%</w:t>
            </w:r>
          </w:p>
        </w:tc>
      </w:tr>
      <w:tr w:rsidR="005C3E09" w:rsidRPr="00BF3207" w14:paraId="73D3F2CC" w14:textId="77777777" w:rsidTr="00F16FD4">
        <w:tc>
          <w:tcPr>
            <w:tcW w:w="1231" w:type="pct"/>
            <w:tcBorders>
              <w:top w:val="single" w:sz="4" w:space="0" w:color="000000"/>
              <w:left w:val="single" w:sz="4" w:space="0" w:color="000000"/>
            </w:tcBorders>
            <w:shd w:val="clear" w:color="auto" w:fill="auto"/>
            <w:tcMar>
              <w:top w:w="0" w:type="dxa"/>
              <w:bottom w:w="0" w:type="dxa"/>
            </w:tcMar>
            <w:vAlign w:val="center"/>
          </w:tcPr>
          <w:p w14:paraId="76E8AC18"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Cost of goods sold</w:t>
            </w:r>
          </w:p>
        </w:tc>
        <w:tc>
          <w:tcPr>
            <w:tcW w:w="1074" w:type="pct"/>
            <w:tcBorders>
              <w:top w:val="single" w:sz="4" w:space="0" w:color="000000"/>
              <w:left w:val="single" w:sz="4" w:space="0" w:color="000000"/>
            </w:tcBorders>
            <w:shd w:val="clear" w:color="auto" w:fill="auto"/>
            <w:tcMar>
              <w:top w:w="0" w:type="dxa"/>
              <w:bottom w:w="0" w:type="dxa"/>
            </w:tcMar>
            <w:vAlign w:val="center"/>
          </w:tcPr>
          <w:p w14:paraId="571F0376"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336,088,701,451</w:t>
            </w:r>
          </w:p>
        </w:tc>
        <w:tc>
          <w:tcPr>
            <w:tcW w:w="1072" w:type="pct"/>
            <w:tcBorders>
              <w:top w:val="single" w:sz="4" w:space="0" w:color="000000"/>
              <w:left w:val="single" w:sz="4" w:space="0" w:color="000000"/>
            </w:tcBorders>
            <w:shd w:val="clear" w:color="auto" w:fill="auto"/>
            <w:tcMar>
              <w:top w:w="0" w:type="dxa"/>
              <w:bottom w:w="0" w:type="dxa"/>
            </w:tcMar>
            <w:vAlign w:val="center"/>
          </w:tcPr>
          <w:p w14:paraId="5BD4B1B0"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214,163,483,569</w:t>
            </w:r>
          </w:p>
        </w:tc>
        <w:tc>
          <w:tcPr>
            <w:tcW w:w="1082" w:type="pct"/>
            <w:tcBorders>
              <w:top w:val="single" w:sz="4" w:space="0" w:color="000000"/>
              <w:left w:val="single" w:sz="4" w:space="0" w:color="000000"/>
            </w:tcBorders>
            <w:shd w:val="clear" w:color="auto" w:fill="auto"/>
            <w:tcMar>
              <w:top w:w="0" w:type="dxa"/>
              <w:bottom w:w="0" w:type="dxa"/>
            </w:tcMar>
            <w:vAlign w:val="center"/>
          </w:tcPr>
          <w:p w14:paraId="09B19564"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121,925,217,882</w:t>
            </w:r>
          </w:p>
        </w:tc>
        <w:tc>
          <w:tcPr>
            <w:tcW w:w="5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BCD8BE"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57%</w:t>
            </w:r>
          </w:p>
        </w:tc>
      </w:tr>
      <w:tr w:rsidR="005C3E09" w:rsidRPr="00BF3207" w14:paraId="59FE3164" w14:textId="77777777" w:rsidTr="00F16FD4">
        <w:tc>
          <w:tcPr>
            <w:tcW w:w="1231" w:type="pct"/>
            <w:tcBorders>
              <w:top w:val="single" w:sz="4" w:space="0" w:color="000000"/>
              <w:left w:val="single" w:sz="4" w:space="0" w:color="000000"/>
            </w:tcBorders>
            <w:shd w:val="clear" w:color="auto" w:fill="auto"/>
            <w:tcMar>
              <w:top w:w="0" w:type="dxa"/>
              <w:bottom w:w="0" w:type="dxa"/>
            </w:tcMar>
            <w:vAlign w:val="center"/>
          </w:tcPr>
          <w:p w14:paraId="25166D07"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Gross profit</w:t>
            </w:r>
          </w:p>
        </w:tc>
        <w:tc>
          <w:tcPr>
            <w:tcW w:w="1074" w:type="pct"/>
            <w:tcBorders>
              <w:top w:val="single" w:sz="4" w:space="0" w:color="000000"/>
              <w:left w:val="single" w:sz="4" w:space="0" w:color="000000"/>
            </w:tcBorders>
            <w:shd w:val="clear" w:color="auto" w:fill="auto"/>
            <w:tcMar>
              <w:top w:w="0" w:type="dxa"/>
              <w:bottom w:w="0" w:type="dxa"/>
            </w:tcMar>
            <w:vAlign w:val="center"/>
          </w:tcPr>
          <w:p w14:paraId="68617531"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10,663,751,119</w:t>
            </w:r>
          </w:p>
        </w:tc>
        <w:tc>
          <w:tcPr>
            <w:tcW w:w="1072" w:type="pct"/>
            <w:tcBorders>
              <w:top w:val="single" w:sz="4" w:space="0" w:color="000000"/>
              <w:left w:val="single" w:sz="4" w:space="0" w:color="000000"/>
            </w:tcBorders>
            <w:shd w:val="clear" w:color="auto" w:fill="auto"/>
            <w:tcMar>
              <w:top w:w="0" w:type="dxa"/>
              <w:bottom w:w="0" w:type="dxa"/>
            </w:tcMar>
            <w:vAlign w:val="center"/>
          </w:tcPr>
          <w:p w14:paraId="7DD9B5DC"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21,254,062,617</w:t>
            </w:r>
          </w:p>
        </w:tc>
        <w:tc>
          <w:tcPr>
            <w:tcW w:w="1082" w:type="pct"/>
            <w:tcBorders>
              <w:top w:val="single" w:sz="4" w:space="0" w:color="000000"/>
              <w:left w:val="single" w:sz="4" w:space="0" w:color="000000"/>
            </w:tcBorders>
            <w:shd w:val="clear" w:color="auto" w:fill="auto"/>
            <w:tcMar>
              <w:top w:w="0" w:type="dxa"/>
              <w:bottom w:w="0" w:type="dxa"/>
            </w:tcMar>
            <w:vAlign w:val="center"/>
          </w:tcPr>
          <w:p w14:paraId="2422A9B1"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10,590,311,498</w:t>
            </w:r>
          </w:p>
        </w:tc>
        <w:tc>
          <w:tcPr>
            <w:tcW w:w="5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D4AD03"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-50%</w:t>
            </w:r>
          </w:p>
        </w:tc>
      </w:tr>
      <w:tr w:rsidR="005C3E09" w:rsidRPr="00BF3207" w14:paraId="4EC95E03" w14:textId="77777777" w:rsidTr="00F16FD4">
        <w:tc>
          <w:tcPr>
            <w:tcW w:w="1231" w:type="pct"/>
            <w:tcBorders>
              <w:top w:val="single" w:sz="4" w:space="0" w:color="000000"/>
              <w:left w:val="single" w:sz="4" w:space="0" w:color="000000"/>
            </w:tcBorders>
            <w:shd w:val="clear" w:color="auto" w:fill="auto"/>
            <w:tcMar>
              <w:top w:w="0" w:type="dxa"/>
              <w:bottom w:w="0" w:type="dxa"/>
            </w:tcMar>
            <w:vAlign w:val="center"/>
          </w:tcPr>
          <w:p w14:paraId="07B9B95A"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Profit before tax</w:t>
            </w:r>
          </w:p>
        </w:tc>
        <w:tc>
          <w:tcPr>
            <w:tcW w:w="1074" w:type="pct"/>
            <w:tcBorders>
              <w:top w:val="single" w:sz="4" w:space="0" w:color="000000"/>
              <w:left w:val="single" w:sz="4" w:space="0" w:color="000000"/>
            </w:tcBorders>
            <w:shd w:val="clear" w:color="auto" w:fill="auto"/>
            <w:tcMar>
              <w:top w:w="0" w:type="dxa"/>
              <w:bottom w:w="0" w:type="dxa"/>
            </w:tcMar>
            <w:vAlign w:val="center"/>
          </w:tcPr>
          <w:p w14:paraId="7B085402"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3,909,855,858</w:t>
            </w:r>
          </w:p>
        </w:tc>
        <w:tc>
          <w:tcPr>
            <w:tcW w:w="1072" w:type="pct"/>
            <w:tcBorders>
              <w:top w:val="single" w:sz="4" w:space="0" w:color="000000"/>
              <w:left w:val="single" w:sz="4" w:space="0" w:color="000000"/>
            </w:tcBorders>
            <w:shd w:val="clear" w:color="auto" w:fill="auto"/>
            <w:tcMar>
              <w:top w:w="0" w:type="dxa"/>
              <w:bottom w:w="0" w:type="dxa"/>
            </w:tcMar>
            <w:vAlign w:val="center"/>
          </w:tcPr>
          <w:p w14:paraId="098BD847"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10,902,991,168</w:t>
            </w:r>
          </w:p>
        </w:tc>
        <w:tc>
          <w:tcPr>
            <w:tcW w:w="1082" w:type="pct"/>
            <w:tcBorders>
              <w:top w:val="single" w:sz="4" w:space="0" w:color="000000"/>
              <w:left w:val="single" w:sz="4" w:space="0" w:color="000000"/>
            </w:tcBorders>
            <w:shd w:val="clear" w:color="auto" w:fill="auto"/>
            <w:tcMar>
              <w:top w:w="0" w:type="dxa"/>
              <w:bottom w:w="0" w:type="dxa"/>
            </w:tcMar>
            <w:vAlign w:val="center"/>
          </w:tcPr>
          <w:p w14:paraId="54F4BF88"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6,993,135,310</w:t>
            </w:r>
          </w:p>
        </w:tc>
        <w:tc>
          <w:tcPr>
            <w:tcW w:w="5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64B6E5"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-64%</w:t>
            </w:r>
          </w:p>
        </w:tc>
      </w:tr>
      <w:tr w:rsidR="005C3E09" w:rsidRPr="00BF3207" w14:paraId="58ABD546" w14:textId="77777777" w:rsidTr="00F16FD4">
        <w:tc>
          <w:tcPr>
            <w:tcW w:w="12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28655F"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Profit after tax</w:t>
            </w:r>
          </w:p>
        </w:tc>
        <w:tc>
          <w:tcPr>
            <w:tcW w:w="10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C59D8B"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3,110,023,536</w:t>
            </w:r>
          </w:p>
        </w:tc>
        <w:tc>
          <w:tcPr>
            <w:tcW w:w="10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9A188"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9,579,475,830</w:t>
            </w:r>
          </w:p>
        </w:tc>
        <w:tc>
          <w:tcPr>
            <w:tcW w:w="10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F6B58D"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6,469,452,294</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9F9F36"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-68%</w:t>
            </w:r>
          </w:p>
        </w:tc>
      </w:tr>
    </w:tbl>
    <w:p w14:paraId="5321C59B" w14:textId="34A46106" w:rsidR="005C3E09" w:rsidRPr="00BF3207" w:rsidRDefault="00F16FD4" w:rsidP="00445570">
      <w:pPr>
        <w:pBdr>
          <w:top w:val="nil"/>
          <w:left w:val="nil"/>
          <w:bottom w:val="nil"/>
          <w:right w:val="nil"/>
          <w:between w:val="nil"/>
        </w:pBdr>
        <w:spacing w:after="120" w:line="360" w:lineRule="auto"/>
        <w:jc w:val="both"/>
        <w:rPr>
          <w:rFonts w:ascii="Arial" w:eastAsia="Arial" w:hAnsi="Arial" w:cs="Arial"/>
          <w:color w:val="010000"/>
          <w:sz w:val="20"/>
          <w:szCs w:val="20"/>
        </w:rPr>
      </w:pPr>
      <w:r w:rsidRPr="00BF3207">
        <w:rPr>
          <w:rFonts w:ascii="Arial" w:hAnsi="Arial" w:cs="Arial"/>
          <w:color w:val="010000"/>
          <w:sz w:val="20"/>
        </w:rPr>
        <w:t xml:space="preserve">Although the revenue in 2023 increases by 47% compared </w:t>
      </w:r>
      <w:r w:rsidR="00945152" w:rsidRPr="00BF3207">
        <w:rPr>
          <w:rFonts w:ascii="Arial" w:hAnsi="Arial" w:cs="Arial"/>
          <w:color w:val="010000"/>
          <w:sz w:val="20"/>
        </w:rPr>
        <w:t xml:space="preserve">that of </w:t>
      </w:r>
      <w:r w:rsidRPr="00BF3207">
        <w:rPr>
          <w:rFonts w:ascii="Arial" w:hAnsi="Arial" w:cs="Arial"/>
          <w:color w:val="010000"/>
          <w:sz w:val="20"/>
        </w:rPr>
        <w:t>to the same period last year, the profit after tax decreases by 68% compared to</w:t>
      </w:r>
      <w:r w:rsidR="00945152" w:rsidRPr="00BF3207">
        <w:rPr>
          <w:rFonts w:ascii="Arial" w:hAnsi="Arial" w:cs="Arial"/>
          <w:color w:val="010000"/>
          <w:sz w:val="20"/>
        </w:rPr>
        <w:t xml:space="preserve"> that of</w:t>
      </w:r>
      <w:r w:rsidRPr="00BF3207">
        <w:rPr>
          <w:rFonts w:ascii="Arial" w:hAnsi="Arial" w:cs="Arial"/>
          <w:color w:val="010000"/>
          <w:sz w:val="20"/>
        </w:rPr>
        <w:t xml:space="preserve"> the same period. The main reason is because:</w:t>
      </w:r>
    </w:p>
    <w:p w14:paraId="51A6A9B8" w14:textId="71257D11" w:rsidR="005C3E09" w:rsidRPr="00BF3207" w:rsidRDefault="00F16FD4" w:rsidP="00445570">
      <w:pPr>
        <w:numPr>
          <w:ilvl w:val="0"/>
          <w:numId w:val="2"/>
        </w:numPr>
        <w:pBdr>
          <w:top w:val="nil"/>
          <w:left w:val="nil"/>
          <w:bottom w:val="nil"/>
          <w:right w:val="nil"/>
          <w:between w:val="nil"/>
        </w:pBdr>
        <w:tabs>
          <w:tab w:val="left" w:pos="208"/>
        </w:tabs>
        <w:spacing w:after="120" w:line="360" w:lineRule="auto"/>
        <w:jc w:val="both"/>
        <w:rPr>
          <w:rFonts w:ascii="Arial" w:eastAsia="Arial" w:hAnsi="Arial" w:cs="Arial"/>
          <w:color w:val="010000"/>
          <w:sz w:val="20"/>
          <w:szCs w:val="20"/>
        </w:rPr>
      </w:pPr>
      <w:r w:rsidRPr="00BF3207">
        <w:rPr>
          <w:rFonts w:ascii="Arial" w:hAnsi="Arial" w:cs="Arial"/>
          <w:color w:val="010000"/>
          <w:sz w:val="20"/>
        </w:rPr>
        <w:t>Revenue from the driver training service sector only reaches VND 31 billion, decreasing by 56% compared to</w:t>
      </w:r>
      <w:r w:rsidR="00945152" w:rsidRPr="00BF3207">
        <w:rPr>
          <w:rFonts w:ascii="Arial" w:hAnsi="Arial" w:cs="Arial"/>
          <w:color w:val="010000"/>
          <w:sz w:val="20"/>
        </w:rPr>
        <w:t xml:space="preserve"> that of</w:t>
      </w:r>
      <w:r w:rsidRPr="00BF3207">
        <w:rPr>
          <w:rFonts w:ascii="Arial" w:hAnsi="Arial" w:cs="Arial"/>
          <w:color w:val="010000"/>
          <w:sz w:val="20"/>
        </w:rPr>
        <w:t xml:space="preserve"> the same period in 2022. The main reason is the impact from the change when applying Circular No. 04/2022/TT-BGTVT dated April 22, 2022, the number of students transferred from the previous year is insignificant. On the other hand, Circular No. 04/2022 supplements more contents to the program, making it difficult for students to arrange their study time. This leads to the class organization process often being prolonged. Therefore, the student's graduation is affected. Besides, in 2023, the unit terminates the training in June, July, and August. From September 2023, the unit is able to train again. This is the reason that greatly affects the revenue of the training sector.</w:t>
      </w:r>
    </w:p>
    <w:p w14:paraId="01C9CC97" w14:textId="50F5C038" w:rsidR="005C3E09" w:rsidRPr="00BF3207" w:rsidRDefault="00F16FD4" w:rsidP="00445570">
      <w:pPr>
        <w:numPr>
          <w:ilvl w:val="0"/>
          <w:numId w:val="2"/>
        </w:numPr>
        <w:pBdr>
          <w:top w:val="nil"/>
          <w:left w:val="nil"/>
          <w:bottom w:val="nil"/>
          <w:right w:val="nil"/>
          <w:between w:val="nil"/>
        </w:pBdr>
        <w:tabs>
          <w:tab w:val="left" w:pos="218"/>
        </w:tabs>
        <w:spacing w:after="120" w:line="360" w:lineRule="auto"/>
        <w:jc w:val="both"/>
        <w:rPr>
          <w:rFonts w:ascii="Arial" w:eastAsia="Arial" w:hAnsi="Arial" w:cs="Arial"/>
          <w:color w:val="010000"/>
          <w:sz w:val="20"/>
          <w:szCs w:val="20"/>
        </w:rPr>
      </w:pPr>
      <w:r w:rsidRPr="00BF3207">
        <w:rPr>
          <w:rFonts w:ascii="Arial" w:hAnsi="Arial" w:cs="Arial"/>
          <w:color w:val="010000"/>
          <w:sz w:val="20"/>
        </w:rPr>
        <w:t xml:space="preserve">In addition to driving training and testing, the unit also utilizes the existing capital to develop other business sectors, maximizing profits for the Company. In 2022, the unit's business of pallets and plastic beads begins to stabilize and develop; orders and volume of goods increase. Therefore, the entire unit's revenue increases compared to </w:t>
      </w:r>
      <w:r w:rsidR="00945152" w:rsidRPr="00BF3207">
        <w:rPr>
          <w:rFonts w:ascii="Arial" w:hAnsi="Arial" w:cs="Arial"/>
          <w:color w:val="010000"/>
          <w:sz w:val="20"/>
        </w:rPr>
        <w:t xml:space="preserve">that of </w:t>
      </w:r>
      <w:r w:rsidRPr="00BF3207">
        <w:rPr>
          <w:rFonts w:ascii="Arial" w:hAnsi="Arial" w:cs="Arial"/>
          <w:color w:val="010000"/>
          <w:sz w:val="20"/>
        </w:rPr>
        <w:t xml:space="preserve">the previous year. Although commercial revenue increases and the commercial profit rate also increases compared to </w:t>
      </w:r>
      <w:r w:rsidR="00945152" w:rsidRPr="00BF3207">
        <w:rPr>
          <w:rFonts w:ascii="Arial" w:hAnsi="Arial" w:cs="Arial"/>
          <w:color w:val="010000"/>
          <w:sz w:val="20"/>
        </w:rPr>
        <w:t xml:space="preserve">that of </w:t>
      </w:r>
      <w:r w:rsidRPr="00BF3207">
        <w:rPr>
          <w:rFonts w:ascii="Arial" w:hAnsi="Arial" w:cs="Arial"/>
          <w:color w:val="010000"/>
          <w:sz w:val="20"/>
        </w:rPr>
        <w:t xml:space="preserve">the previous year, it does not compensate for the loss of training activities, leading to the unit's total production and business profit being low compared to </w:t>
      </w:r>
      <w:r w:rsidR="00945152" w:rsidRPr="00BF3207">
        <w:rPr>
          <w:rFonts w:ascii="Arial" w:hAnsi="Arial" w:cs="Arial"/>
          <w:color w:val="010000"/>
          <w:sz w:val="20"/>
        </w:rPr>
        <w:t xml:space="preserve">that of </w:t>
      </w:r>
      <w:r w:rsidRPr="00BF3207">
        <w:rPr>
          <w:rFonts w:ascii="Arial" w:hAnsi="Arial" w:cs="Arial"/>
          <w:color w:val="010000"/>
          <w:sz w:val="20"/>
        </w:rPr>
        <w:t>2022.</w:t>
      </w:r>
    </w:p>
    <w:p w14:paraId="35BA810B" w14:textId="77777777" w:rsidR="005C3E09" w:rsidRPr="00BF3207" w:rsidRDefault="00F16FD4" w:rsidP="00445570">
      <w:pPr>
        <w:pBdr>
          <w:top w:val="nil"/>
          <w:left w:val="nil"/>
          <w:bottom w:val="nil"/>
          <w:right w:val="nil"/>
          <w:between w:val="nil"/>
        </w:pBdr>
        <w:spacing w:after="120" w:line="360" w:lineRule="auto"/>
        <w:jc w:val="both"/>
        <w:rPr>
          <w:rFonts w:ascii="Arial" w:eastAsia="Arial" w:hAnsi="Arial" w:cs="Arial"/>
          <w:color w:val="010000"/>
          <w:sz w:val="20"/>
          <w:szCs w:val="20"/>
        </w:rPr>
      </w:pPr>
      <w:r w:rsidRPr="00BF3207">
        <w:rPr>
          <w:rFonts w:ascii="Arial" w:hAnsi="Arial" w:cs="Arial"/>
          <w:color w:val="010000"/>
          <w:sz w:val="20"/>
        </w:rPr>
        <w:t>Above are some main reasons why the value of revenue during the year increases but the profit decreases compared to the same period last year.</w:t>
      </w:r>
    </w:p>
    <w:p w14:paraId="4EF541B6" w14:textId="5A9E1E1C" w:rsidR="005C3E09" w:rsidRPr="00BF3207" w:rsidRDefault="00F16FD4" w:rsidP="00445570">
      <w:pPr>
        <w:keepNext/>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3207">
        <w:rPr>
          <w:rFonts w:ascii="Arial" w:hAnsi="Arial" w:cs="Arial"/>
          <w:color w:val="010000"/>
          <w:sz w:val="20"/>
        </w:rPr>
        <w:t xml:space="preserve">Explanation of the difference in </w:t>
      </w:r>
      <w:r w:rsidR="00945152" w:rsidRPr="00BF3207">
        <w:rPr>
          <w:rFonts w:ascii="Arial" w:hAnsi="Arial" w:cs="Arial"/>
          <w:color w:val="010000"/>
          <w:sz w:val="20"/>
        </w:rPr>
        <w:t>figures</w:t>
      </w:r>
      <w:r w:rsidRPr="00BF3207">
        <w:rPr>
          <w:rFonts w:ascii="Arial" w:hAnsi="Arial" w:cs="Arial"/>
          <w:color w:val="010000"/>
          <w:sz w:val="20"/>
        </w:rPr>
        <w:t xml:space="preserve"> before and after audit:</w:t>
      </w:r>
    </w:p>
    <w:p w14:paraId="31E6D53C" w14:textId="77777777" w:rsidR="005C3E09" w:rsidRPr="00BF3207" w:rsidRDefault="00F16FD4" w:rsidP="00445570">
      <w:pPr>
        <w:pBdr>
          <w:top w:val="nil"/>
          <w:left w:val="nil"/>
          <w:bottom w:val="nil"/>
          <w:right w:val="nil"/>
          <w:between w:val="nil"/>
        </w:pBdr>
        <w:spacing w:after="120" w:line="360" w:lineRule="auto"/>
        <w:jc w:val="both"/>
        <w:rPr>
          <w:rFonts w:ascii="Arial" w:eastAsia="Arial" w:hAnsi="Arial" w:cs="Arial"/>
          <w:color w:val="010000"/>
          <w:sz w:val="20"/>
          <w:szCs w:val="20"/>
        </w:rPr>
      </w:pPr>
      <w:r w:rsidRPr="00BF3207">
        <w:rPr>
          <w:rFonts w:ascii="Arial" w:hAnsi="Arial" w:cs="Arial"/>
          <w:color w:val="010000"/>
          <w:sz w:val="20"/>
        </w:rPr>
        <w:t>In the Report on production and business results, the corporate income tax target changes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8"/>
        <w:gridCol w:w="2013"/>
        <w:gridCol w:w="2229"/>
        <w:gridCol w:w="2219"/>
      </w:tblGrid>
      <w:tr w:rsidR="005C3E09" w:rsidRPr="00BF3207" w14:paraId="35F5E766" w14:textId="77777777" w:rsidTr="00F16FD4">
        <w:tc>
          <w:tcPr>
            <w:tcW w:w="1418" w:type="pct"/>
            <w:shd w:val="clear" w:color="auto" w:fill="auto"/>
            <w:tcMar>
              <w:top w:w="0" w:type="dxa"/>
              <w:bottom w:w="0" w:type="dxa"/>
            </w:tcMar>
            <w:vAlign w:val="center"/>
          </w:tcPr>
          <w:p w14:paraId="7F8F2AC5"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No.</w:t>
            </w:r>
          </w:p>
        </w:tc>
        <w:tc>
          <w:tcPr>
            <w:tcW w:w="1116" w:type="pct"/>
            <w:shd w:val="clear" w:color="auto" w:fill="auto"/>
            <w:tcMar>
              <w:top w:w="0" w:type="dxa"/>
              <w:bottom w:w="0" w:type="dxa"/>
            </w:tcMar>
            <w:vAlign w:val="center"/>
          </w:tcPr>
          <w:p w14:paraId="3268CED0"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Target</w:t>
            </w:r>
          </w:p>
        </w:tc>
        <w:tc>
          <w:tcPr>
            <w:tcW w:w="1236" w:type="pct"/>
            <w:shd w:val="clear" w:color="auto" w:fill="auto"/>
            <w:tcMar>
              <w:top w:w="0" w:type="dxa"/>
              <w:bottom w:w="0" w:type="dxa"/>
            </w:tcMar>
            <w:vAlign w:val="center"/>
          </w:tcPr>
          <w:p w14:paraId="79D2D627"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Before audit</w:t>
            </w:r>
          </w:p>
        </w:tc>
        <w:tc>
          <w:tcPr>
            <w:tcW w:w="1231" w:type="pct"/>
            <w:shd w:val="clear" w:color="auto" w:fill="auto"/>
            <w:tcMar>
              <w:top w:w="0" w:type="dxa"/>
              <w:bottom w:w="0" w:type="dxa"/>
            </w:tcMar>
            <w:vAlign w:val="center"/>
          </w:tcPr>
          <w:p w14:paraId="286E9925"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After audit</w:t>
            </w:r>
          </w:p>
        </w:tc>
      </w:tr>
      <w:tr w:rsidR="005C3E09" w:rsidRPr="00BF3207" w14:paraId="1627AD51" w14:textId="77777777" w:rsidTr="00F16FD4">
        <w:tc>
          <w:tcPr>
            <w:tcW w:w="1418" w:type="pct"/>
            <w:shd w:val="clear" w:color="auto" w:fill="auto"/>
            <w:tcMar>
              <w:top w:w="0" w:type="dxa"/>
              <w:bottom w:w="0" w:type="dxa"/>
            </w:tcMar>
            <w:vAlign w:val="center"/>
          </w:tcPr>
          <w:p w14:paraId="35BB0E6B"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lastRenderedPageBreak/>
              <w:t>Profit after tax</w:t>
            </w:r>
          </w:p>
        </w:tc>
        <w:tc>
          <w:tcPr>
            <w:tcW w:w="1116" w:type="pct"/>
            <w:shd w:val="clear" w:color="auto" w:fill="auto"/>
            <w:tcMar>
              <w:top w:w="0" w:type="dxa"/>
              <w:bottom w:w="0" w:type="dxa"/>
            </w:tcMar>
            <w:vAlign w:val="center"/>
          </w:tcPr>
          <w:p w14:paraId="6424FAF5"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60</w:t>
            </w:r>
          </w:p>
        </w:tc>
        <w:tc>
          <w:tcPr>
            <w:tcW w:w="1236" w:type="pct"/>
            <w:shd w:val="clear" w:color="auto" w:fill="auto"/>
            <w:tcMar>
              <w:top w:w="0" w:type="dxa"/>
              <w:bottom w:w="0" w:type="dxa"/>
            </w:tcMar>
            <w:vAlign w:val="center"/>
          </w:tcPr>
          <w:p w14:paraId="79BC6BE8"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2,912,474,445</w:t>
            </w:r>
          </w:p>
        </w:tc>
        <w:tc>
          <w:tcPr>
            <w:tcW w:w="1231" w:type="pct"/>
            <w:shd w:val="clear" w:color="auto" w:fill="auto"/>
            <w:tcMar>
              <w:top w:w="0" w:type="dxa"/>
              <w:bottom w:w="0" w:type="dxa"/>
            </w:tcMar>
            <w:vAlign w:val="center"/>
          </w:tcPr>
          <w:p w14:paraId="4C849A7E" w14:textId="77777777" w:rsidR="005C3E09" w:rsidRPr="00BF3207" w:rsidRDefault="00F16FD4" w:rsidP="00F16FD4">
            <w:pPr>
              <w:pBdr>
                <w:top w:val="nil"/>
                <w:left w:val="nil"/>
                <w:bottom w:val="nil"/>
                <w:right w:val="nil"/>
                <w:between w:val="nil"/>
              </w:pBdr>
              <w:spacing w:after="120" w:line="360" w:lineRule="auto"/>
              <w:rPr>
                <w:rFonts w:ascii="Arial" w:eastAsia="Arial" w:hAnsi="Arial" w:cs="Arial"/>
                <w:color w:val="010000"/>
                <w:sz w:val="20"/>
                <w:szCs w:val="20"/>
              </w:rPr>
            </w:pPr>
            <w:r w:rsidRPr="00BF3207">
              <w:rPr>
                <w:rFonts w:ascii="Arial" w:hAnsi="Arial" w:cs="Arial"/>
                <w:color w:val="010000"/>
                <w:sz w:val="20"/>
              </w:rPr>
              <w:t>3,110,023,536</w:t>
            </w:r>
          </w:p>
        </w:tc>
      </w:tr>
    </w:tbl>
    <w:p w14:paraId="66321E94" w14:textId="77777777" w:rsidR="005C3E09" w:rsidRPr="00BF3207" w:rsidRDefault="00F16FD4" w:rsidP="00445570">
      <w:pPr>
        <w:pBdr>
          <w:top w:val="nil"/>
          <w:left w:val="nil"/>
          <w:bottom w:val="nil"/>
          <w:right w:val="nil"/>
          <w:between w:val="nil"/>
        </w:pBdr>
        <w:tabs>
          <w:tab w:val="left" w:pos="9540"/>
        </w:tabs>
        <w:spacing w:after="120" w:line="360" w:lineRule="auto"/>
        <w:jc w:val="both"/>
        <w:rPr>
          <w:rFonts w:ascii="Arial" w:eastAsia="Arial" w:hAnsi="Arial" w:cs="Arial"/>
          <w:color w:val="010000"/>
          <w:sz w:val="20"/>
          <w:szCs w:val="20"/>
        </w:rPr>
      </w:pPr>
      <w:r w:rsidRPr="00BF3207">
        <w:rPr>
          <w:rFonts w:ascii="Arial" w:hAnsi="Arial" w:cs="Arial"/>
          <w:color w:val="010000"/>
          <w:sz w:val="20"/>
        </w:rPr>
        <w:t xml:space="preserve">Reason of the difference: Because in the process of calculating corporate income tax for each type of production and business, the unit does not offset the corporate income tax of training and commercial activities, leading to errors in the corporate income tax calculation. </w:t>
      </w:r>
    </w:p>
    <w:p w14:paraId="2BCC06DB" w14:textId="77777777" w:rsidR="005C3E09" w:rsidRPr="00BF3207" w:rsidRDefault="00F16FD4" w:rsidP="0044557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F3207">
        <w:rPr>
          <w:rFonts w:ascii="Arial" w:hAnsi="Arial" w:cs="Arial"/>
          <w:color w:val="010000"/>
          <w:sz w:val="20"/>
        </w:rPr>
        <w:t>Audit company's opinion: Unqualified opinion</w:t>
      </w:r>
    </w:p>
    <w:p w14:paraId="4D2FD966" w14:textId="1D35040D" w:rsidR="005C3E09" w:rsidRPr="00BF3207" w:rsidRDefault="00F16FD4" w:rsidP="00445570">
      <w:pPr>
        <w:pBdr>
          <w:top w:val="nil"/>
          <w:left w:val="nil"/>
          <w:bottom w:val="nil"/>
          <w:right w:val="nil"/>
          <w:between w:val="nil"/>
        </w:pBdr>
        <w:spacing w:after="120" w:line="360" w:lineRule="auto"/>
        <w:jc w:val="both"/>
        <w:rPr>
          <w:rFonts w:ascii="Arial" w:eastAsia="Arial" w:hAnsi="Arial" w:cs="Arial"/>
          <w:color w:val="010000"/>
          <w:sz w:val="20"/>
          <w:szCs w:val="20"/>
        </w:rPr>
      </w:pPr>
      <w:r w:rsidRPr="00BF3207">
        <w:rPr>
          <w:rFonts w:ascii="Arial" w:hAnsi="Arial" w:cs="Arial"/>
          <w:color w:val="010000"/>
          <w:sz w:val="20"/>
        </w:rPr>
        <w:t xml:space="preserve">Above is our unit's explanation about the Financial Statements 2023 audited by </w:t>
      </w:r>
      <w:proofErr w:type="spellStart"/>
      <w:r w:rsidRPr="00BF3207">
        <w:rPr>
          <w:rFonts w:ascii="Arial" w:hAnsi="Arial" w:cs="Arial"/>
          <w:color w:val="010000"/>
          <w:sz w:val="20"/>
        </w:rPr>
        <w:t>Nhan</w:t>
      </w:r>
      <w:proofErr w:type="spellEnd"/>
      <w:r w:rsidRPr="00BF3207">
        <w:rPr>
          <w:rFonts w:ascii="Arial" w:hAnsi="Arial" w:cs="Arial"/>
          <w:color w:val="010000"/>
          <w:sz w:val="20"/>
        </w:rPr>
        <w:t xml:space="preserve"> Tam Viet Audit Company Limited. Lap Phuong Thanh Production </w:t>
      </w:r>
      <w:proofErr w:type="gramStart"/>
      <w:r w:rsidRPr="00BF3207">
        <w:rPr>
          <w:rFonts w:ascii="Arial" w:hAnsi="Arial" w:cs="Arial"/>
          <w:color w:val="010000"/>
          <w:sz w:val="20"/>
        </w:rPr>
        <w:t>And</w:t>
      </w:r>
      <w:proofErr w:type="gramEnd"/>
      <w:r w:rsidRPr="00BF3207">
        <w:rPr>
          <w:rFonts w:ascii="Arial" w:hAnsi="Arial" w:cs="Arial"/>
          <w:color w:val="010000"/>
          <w:sz w:val="20"/>
        </w:rPr>
        <w:t xml:space="preserve"> Trading Joint Stock Company respectfully reports to the Sta</w:t>
      </w:r>
      <w:r w:rsidR="00445570">
        <w:rPr>
          <w:rFonts w:ascii="Arial" w:hAnsi="Arial" w:cs="Arial"/>
          <w:color w:val="010000"/>
          <w:sz w:val="20"/>
        </w:rPr>
        <w:t>te Securities Commission and</w:t>
      </w:r>
      <w:r w:rsidRPr="00BF3207">
        <w:rPr>
          <w:rFonts w:ascii="Arial" w:hAnsi="Arial" w:cs="Arial"/>
          <w:color w:val="010000"/>
          <w:sz w:val="20"/>
        </w:rPr>
        <w:t xml:space="preserve"> Hanoi Stock Exchange.</w:t>
      </w:r>
    </w:p>
    <w:sectPr w:rsidR="005C3E09" w:rsidRPr="00BF3207" w:rsidSect="00F16FD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88B"/>
    <w:multiLevelType w:val="multilevel"/>
    <w:tmpl w:val="8D4E891E"/>
    <w:lvl w:ilvl="0">
      <w:start w:val="1"/>
      <w:numFmt w:val="bullet"/>
      <w:lvlText w:val="-"/>
      <w:lvlJc w:val="left"/>
      <w:pPr>
        <w:ind w:left="0" w:firstLine="0"/>
      </w:pPr>
      <w:rPr>
        <w:rFonts w:ascii="Arial" w:eastAsia="Arial" w:hAnsi="Arial" w:cs="Arial"/>
        <w:b w:val="0"/>
        <w:i w:val="0"/>
        <w:smallCaps w:val="0"/>
        <w:strike w:val="0"/>
        <w:color w:val="5D606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FA0923"/>
    <w:multiLevelType w:val="multilevel"/>
    <w:tmpl w:val="EE9C830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09"/>
    <w:rsid w:val="00440765"/>
    <w:rsid w:val="00445570"/>
    <w:rsid w:val="004D778B"/>
    <w:rsid w:val="005C3E09"/>
    <w:rsid w:val="00945152"/>
    <w:rsid w:val="00BF3207"/>
    <w:rsid w:val="00F16F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8BF5"/>
  <w15:docId w15:val="{4FBF0ECB-53CE-466F-B34C-D32AD80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63738"/>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63738"/>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F5B77"/>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363738"/>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363738"/>
      <w:sz w:val="26"/>
      <w:szCs w:val="2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363738"/>
      <w:sz w:val="16"/>
      <w:szCs w:val="16"/>
      <w:u w:val="none"/>
      <w:shd w:val="clear" w:color="auto" w:fill="auto"/>
    </w:rPr>
  </w:style>
  <w:style w:type="paragraph" w:customStyle="1" w:styleId="Vnbnnidung0">
    <w:name w:val="Văn bản nội dung"/>
    <w:basedOn w:val="Normal"/>
    <w:link w:val="Vnbnnidung"/>
    <w:pPr>
      <w:spacing w:line="276" w:lineRule="auto"/>
      <w:ind w:firstLine="70"/>
    </w:pPr>
    <w:rPr>
      <w:rFonts w:ascii="Times New Roman" w:eastAsia="Times New Roman" w:hAnsi="Times New Roman" w:cs="Times New Roman"/>
      <w:color w:val="363738"/>
      <w:sz w:val="26"/>
      <w:szCs w:val="26"/>
    </w:rPr>
  </w:style>
  <w:style w:type="paragraph" w:customStyle="1" w:styleId="Vnbnnidung20">
    <w:name w:val="Văn bản nội dung (2)"/>
    <w:basedOn w:val="Normal"/>
    <w:link w:val="Vnbnnidung2"/>
    <w:pPr>
      <w:spacing w:line="276" w:lineRule="auto"/>
    </w:pPr>
    <w:rPr>
      <w:rFonts w:ascii="Arial" w:eastAsia="Arial" w:hAnsi="Arial" w:cs="Arial"/>
      <w:sz w:val="8"/>
      <w:szCs w:val="8"/>
    </w:rPr>
  </w:style>
  <w:style w:type="paragraph" w:customStyle="1" w:styleId="Vnbnnidung40">
    <w:name w:val="Văn bản nội dung (4)"/>
    <w:basedOn w:val="Normal"/>
    <w:link w:val="Vnbnnidung4"/>
    <w:pPr>
      <w:spacing w:line="252" w:lineRule="auto"/>
      <w:jc w:val="center"/>
    </w:pPr>
    <w:rPr>
      <w:rFonts w:ascii="Arial" w:eastAsia="Arial" w:hAnsi="Arial" w:cs="Arial"/>
      <w:sz w:val="20"/>
      <w:szCs w:val="20"/>
    </w:rPr>
  </w:style>
  <w:style w:type="paragraph" w:customStyle="1" w:styleId="Tiu10">
    <w:name w:val="Tiêu đề #1"/>
    <w:basedOn w:val="Normal"/>
    <w:link w:val="Tiu1"/>
    <w:pPr>
      <w:outlineLvl w:val="0"/>
    </w:pPr>
    <w:rPr>
      <w:rFonts w:ascii="Times New Roman" w:eastAsia="Times New Roman" w:hAnsi="Times New Roman" w:cs="Times New Roman"/>
      <w:b/>
      <w:bCs/>
      <w:color w:val="363738"/>
      <w:sz w:val="26"/>
      <w:szCs w:val="26"/>
    </w:rPr>
  </w:style>
  <w:style w:type="paragraph" w:customStyle="1" w:styleId="Vnbnnidung30">
    <w:name w:val="Văn bản nội dung (3)"/>
    <w:basedOn w:val="Normal"/>
    <w:link w:val="Vnbnnidung3"/>
    <w:pPr>
      <w:spacing w:line="338" w:lineRule="auto"/>
      <w:jc w:val="right"/>
    </w:pPr>
    <w:rPr>
      <w:rFonts w:ascii="Arial" w:eastAsia="Arial" w:hAnsi="Arial" w:cs="Arial"/>
      <w:color w:val="CF5B77"/>
      <w:sz w:val="16"/>
      <w:szCs w:val="16"/>
    </w:rPr>
  </w:style>
  <w:style w:type="paragraph" w:customStyle="1" w:styleId="Chthchbng0">
    <w:name w:val="Chú thích bảng"/>
    <w:basedOn w:val="Normal"/>
    <w:link w:val="Chthchbng"/>
    <w:rPr>
      <w:rFonts w:ascii="Times New Roman" w:eastAsia="Times New Roman" w:hAnsi="Times New Roman" w:cs="Times New Roman"/>
      <w:color w:val="363738"/>
      <w:sz w:val="26"/>
      <w:szCs w:val="26"/>
    </w:rPr>
  </w:style>
  <w:style w:type="paragraph" w:customStyle="1" w:styleId="Khc0">
    <w:name w:val="Khác"/>
    <w:basedOn w:val="Normal"/>
    <w:link w:val="Khc"/>
    <w:pPr>
      <w:spacing w:line="276" w:lineRule="auto"/>
      <w:ind w:firstLine="70"/>
    </w:pPr>
    <w:rPr>
      <w:rFonts w:ascii="Times New Roman" w:eastAsia="Times New Roman" w:hAnsi="Times New Roman" w:cs="Times New Roman"/>
      <w:color w:val="363738"/>
      <w:sz w:val="26"/>
      <w:szCs w:val="26"/>
    </w:rPr>
  </w:style>
  <w:style w:type="paragraph" w:customStyle="1" w:styleId="Vnbnnidung50">
    <w:name w:val="Văn bản nội dung (5)"/>
    <w:basedOn w:val="Normal"/>
    <w:link w:val="Vnbnnidung5"/>
    <w:pPr>
      <w:ind w:firstLine="500"/>
    </w:pPr>
    <w:rPr>
      <w:rFonts w:ascii="Times New Roman" w:eastAsia="Times New Roman" w:hAnsi="Times New Roman" w:cs="Times New Roman"/>
      <w:color w:val="363738"/>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3QL9azwu6LYwkaJuk1mN/L3pg==">CgMxLjA4AHIhMXNORmdwNWdEdXdESVlwSjdVVzFucThRRkdYMXNpSGJ2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2024-02-21T03:48:00Z</dcterms:created>
  <dcterms:modified xsi:type="dcterms:W3CDTF">2024-02-21T03:48:00Z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dc664af684bb16bd28f9c37db19239a6a65ab8f67ad5e7c56b29a879bf595874</vt:lpwstr>
  </property>
</Properties>
</file>