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105E4" w14:textId="77777777" w:rsidR="005E0D15" w:rsidRPr="000B0CA8" w:rsidRDefault="005E0D15" w:rsidP="00455736">
      <w:pPr>
        <w:pStyle w:val="Vnbnnidung30"/>
        <w:tabs>
          <w:tab w:val="left" w:pos="360"/>
        </w:tabs>
        <w:spacing w:after="120" w:line="360" w:lineRule="auto"/>
        <w:jc w:val="both"/>
        <w:rPr>
          <w:b/>
          <w:color w:val="010000"/>
          <w:sz w:val="20"/>
        </w:rPr>
      </w:pPr>
      <w:r>
        <w:rPr>
          <w:b/>
          <w:color w:val="010000"/>
          <w:sz w:val="20"/>
        </w:rPr>
        <w:t>VGI: Annual Corporate Governance Report 2023</w:t>
      </w:r>
    </w:p>
    <w:p w14:paraId="48A4A7BE" w14:textId="24594F95" w:rsidR="005E0D15" w:rsidRPr="000B0CA8" w:rsidRDefault="005E0D15" w:rsidP="00455736">
      <w:pPr>
        <w:pStyle w:val="Vnbnnidung30"/>
        <w:tabs>
          <w:tab w:val="left" w:pos="360"/>
        </w:tabs>
        <w:spacing w:after="120" w:line="360" w:lineRule="auto"/>
        <w:jc w:val="both"/>
        <w:rPr>
          <w:color w:val="010000"/>
          <w:sz w:val="20"/>
        </w:rPr>
      </w:pPr>
      <w:r>
        <w:rPr>
          <w:color w:val="010000"/>
          <w:sz w:val="20"/>
        </w:rPr>
        <w:t xml:space="preserve">On January 30, 2024, Viettel Global Investment Joint Stock Company announced Report No. 46/BC-VTG on the corporate governance in 2023 as follows: </w:t>
      </w:r>
    </w:p>
    <w:p w14:paraId="65B69486" w14:textId="74246798" w:rsidR="004D32A5" w:rsidRPr="000B0CA8" w:rsidRDefault="0059341B" w:rsidP="00455736">
      <w:pPr>
        <w:pStyle w:val="Tiu20"/>
        <w:keepNext/>
        <w:tabs>
          <w:tab w:val="left" w:pos="360"/>
          <w:tab w:val="left" w:pos="992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Name of Company: Viettel Global Investment Joint Stock Company</w:t>
      </w:r>
    </w:p>
    <w:p w14:paraId="286CC70D" w14:textId="6B488162" w:rsidR="004D32A5" w:rsidRPr="000B0CA8" w:rsidRDefault="00A3091F" w:rsidP="00455736">
      <w:pPr>
        <w:pStyle w:val="Vnbnnidung0"/>
        <w:numPr>
          <w:ilvl w:val="0"/>
          <w:numId w:val="1"/>
        </w:numPr>
        <w:tabs>
          <w:tab w:val="left" w:pos="360"/>
          <w:tab w:val="left" w:pos="99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Head office address: 39 - 40th Floor, Keangnam Landmark Building, Zone E6, Cau Giay New urban areas, Me Tri Ward, Nam Tu Liem District</w:t>
      </w:r>
    </w:p>
    <w:p w14:paraId="701D068D" w14:textId="77777777" w:rsidR="004D32A5" w:rsidRPr="000B0CA8" w:rsidRDefault="00A3091F" w:rsidP="00455736">
      <w:pPr>
        <w:pStyle w:val="Vnbnnidung0"/>
        <w:numPr>
          <w:ilvl w:val="0"/>
          <w:numId w:val="1"/>
        </w:numPr>
        <w:tabs>
          <w:tab w:val="left" w:pos="360"/>
          <w:tab w:val="left" w:pos="99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Tel: (84-24) 6262 6868 Fax: (84-24) 6256 8686</w:t>
      </w:r>
    </w:p>
    <w:p w14:paraId="24913E58" w14:textId="77777777" w:rsidR="004D32A5" w:rsidRPr="000B0CA8" w:rsidRDefault="00A3091F" w:rsidP="00455736">
      <w:pPr>
        <w:pStyle w:val="Vnbnnidung0"/>
        <w:numPr>
          <w:ilvl w:val="0"/>
          <w:numId w:val="1"/>
        </w:numPr>
        <w:tabs>
          <w:tab w:val="left" w:pos="360"/>
          <w:tab w:val="left" w:pos="99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7" w:history="1">
        <w:r>
          <w:rPr>
            <w:rFonts w:ascii="Arial" w:hAnsi="Arial"/>
            <w:color w:val="010000"/>
            <w:sz w:val="20"/>
          </w:rPr>
          <w:t>http://viettelglobal.vn</w:t>
        </w:r>
      </w:hyperlink>
    </w:p>
    <w:p w14:paraId="731177D4" w14:textId="77777777" w:rsidR="004D32A5" w:rsidRPr="000B0CA8" w:rsidRDefault="00A3091F" w:rsidP="00455736">
      <w:pPr>
        <w:pStyle w:val="Vnbnnidung0"/>
        <w:numPr>
          <w:ilvl w:val="0"/>
          <w:numId w:val="1"/>
        </w:numPr>
        <w:tabs>
          <w:tab w:val="left" w:pos="360"/>
          <w:tab w:val="left" w:pos="99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Charter capital: VND 30,438,112,000,000</w:t>
      </w:r>
    </w:p>
    <w:p w14:paraId="002EF342" w14:textId="77777777" w:rsidR="004D32A5" w:rsidRPr="000B0CA8" w:rsidRDefault="00A3091F" w:rsidP="00455736">
      <w:pPr>
        <w:pStyle w:val="Vnbnnidung0"/>
        <w:numPr>
          <w:ilvl w:val="0"/>
          <w:numId w:val="1"/>
        </w:numPr>
        <w:tabs>
          <w:tab w:val="left" w:pos="360"/>
          <w:tab w:val="left" w:pos="99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Securities code: VGI</w:t>
      </w:r>
    </w:p>
    <w:p w14:paraId="2436EC8A" w14:textId="69529CCB" w:rsidR="004D32A5" w:rsidRPr="000B0CA8" w:rsidRDefault="00A3091F" w:rsidP="00455736">
      <w:pPr>
        <w:pStyle w:val="Vnbnnidung0"/>
        <w:numPr>
          <w:ilvl w:val="0"/>
          <w:numId w:val="1"/>
        </w:numPr>
        <w:tabs>
          <w:tab w:val="left" w:pos="360"/>
          <w:tab w:val="left" w:pos="99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455736">
        <w:rPr>
          <w:rFonts w:ascii="Arial" w:hAnsi="Arial"/>
          <w:color w:val="010000"/>
          <w:sz w:val="20"/>
        </w:rPr>
        <w:t>General Meeting, Board of Directors, Supervisory Board and Managing Director</w:t>
      </w:r>
      <w:r>
        <w:rPr>
          <w:rFonts w:ascii="Arial" w:hAnsi="Arial"/>
          <w:color w:val="010000"/>
          <w:sz w:val="20"/>
        </w:rPr>
        <w:t>.</w:t>
      </w:r>
    </w:p>
    <w:p w14:paraId="6A1D4180" w14:textId="3C931944" w:rsidR="004D32A5" w:rsidRPr="000B0CA8" w:rsidRDefault="00455736" w:rsidP="00455736">
      <w:pPr>
        <w:pStyle w:val="Vnbnnidung0"/>
        <w:numPr>
          <w:ilvl w:val="0"/>
          <w:numId w:val="1"/>
        </w:numPr>
        <w:tabs>
          <w:tab w:val="left" w:pos="360"/>
          <w:tab w:val="left" w:pos="99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Internal audit</w:t>
      </w:r>
      <w:r w:rsidR="00A3091F">
        <w:rPr>
          <w:rFonts w:ascii="Arial" w:hAnsi="Arial"/>
          <w:color w:val="010000"/>
          <w:sz w:val="20"/>
        </w:rPr>
        <w:t>: Implemented.</w:t>
      </w:r>
    </w:p>
    <w:p w14:paraId="7F66ABC8" w14:textId="466E61AB" w:rsidR="004D32A5" w:rsidRPr="000B0CA8" w:rsidRDefault="00A3091F" w:rsidP="00455736">
      <w:pPr>
        <w:pStyle w:val="Vnbnnidung0"/>
        <w:numPr>
          <w:ilvl w:val="0"/>
          <w:numId w:val="2"/>
        </w:numPr>
        <w:tabs>
          <w:tab w:val="left" w:pos="360"/>
          <w:tab w:val="left" w:pos="106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455736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20D90128" w14:textId="5B3AE250" w:rsidR="004D32A5" w:rsidRPr="000B0CA8" w:rsidRDefault="00A3091F" w:rsidP="00455736">
      <w:pPr>
        <w:pStyle w:val="Vnbnnidung0"/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455736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455736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3830"/>
        <w:gridCol w:w="2550"/>
        <w:gridCol w:w="6651"/>
      </w:tblGrid>
      <w:tr w:rsidR="004D32A5" w:rsidRPr="000B0CA8" w14:paraId="165E4AE6" w14:textId="77777777" w:rsidTr="000B0CA8">
        <w:trPr>
          <w:cantSplit/>
        </w:trPr>
        <w:tc>
          <w:tcPr>
            <w:tcW w:w="329" w:type="pct"/>
            <w:shd w:val="clear" w:color="auto" w:fill="auto"/>
            <w:vAlign w:val="center"/>
          </w:tcPr>
          <w:p w14:paraId="400E2BC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7AB25FBC" w14:textId="4917ECC8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80FA576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384" w:type="pct"/>
            <w:shd w:val="clear" w:color="auto" w:fill="auto"/>
            <w:vAlign w:val="center"/>
          </w:tcPr>
          <w:p w14:paraId="7B4B6493" w14:textId="35E38D13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455736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6A659F" w:rsidRPr="000B0CA8" w14:paraId="7CFAA4B6" w14:textId="77777777" w:rsidTr="000B0CA8">
        <w:trPr>
          <w:cantSplit/>
        </w:trPr>
        <w:tc>
          <w:tcPr>
            <w:tcW w:w="329" w:type="pct"/>
            <w:shd w:val="clear" w:color="auto" w:fill="auto"/>
            <w:vAlign w:val="center"/>
          </w:tcPr>
          <w:p w14:paraId="65E51163" w14:textId="77777777" w:rsidR="006A659F" w:rsidRPr="000B0CA8" w:rsidRDefault="006A659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1FD8FAB4" w14:textId="77777777" w:rsidR="006A659F" w:rsidRPr="000B0CA8" w:rsidRDefault="006A659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02/NQ-DHDCD-VTG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21688E8" w14:textId="77777777" w:rsidR="006A659F" w:rsidRPr="000B0CA8" w:rsidRDefault="006A659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384" w:type="pct"/>
            <w:shd w:val="clear" w:color="auto" w:fill="auto"/>
            <w:vAlign w:val="center"/>
          </w:tcPr>
          <w:p w14:paraId="158F0AFE" w14:textId="3634E95B" w:rsidR="006A659F" w:rsidRPr="000B0CA8" w:rsidRDefault="006A659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</w:t>
            </w:r>
            <w:r w:rsidR="00455736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Viettel Global Investment Joint Stock Company (“Corporation” or “VTG”) approved the following contents:</w:t>
            </w:r>
          </w:p>
          <w:p w14:paraId="2BA57C87" w14:textId="77777777" w:rsidR="006A659F" w:rsidRPr="000B0CA8" w:rsidRDefault="006A659F" w:rsidP="00BF09F4">
            <w:pPr>
              <w:pStyle w:val="Khc0"/>
              <w:numPr>
                <w:ilvl w:val="0"/>
                <w:numId w:val="3"/>
              </w:numPr>
              <w:tabs>
                <w:tab w:val="left" w:pos="202"/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Board of Directors (“BOD”) in 2022 and in the term of 2018-2023;</w:t>
            </w:r>
          </w:p>
          <w:p w14:paraId="06A7211C" w14:textId="77777777" w:rsidR="006A659F" w:rsidRPr="000B0CA8" w:rsidRDefault="006A659F" w:rsidP="00BF09F4">
            <w:pPr>
              <w:pStyle w:val="Khc0"/>
              <w:numPr>
                <w:ilvl w:val="0"/>
                <w:numId w:val="3"/>
              </w:numPr>
              <w:tabs>
                <w:tab w:val="left" w:pos="206"/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production and business situation in 2022 and Business plan in 2023;</w:t>
            </w:r>
          </w:p>
          <w:p w14:paraId="54ADEF62" w14:textId="77777777" w:rsidR="006A659F" w:rsidRPr="000B0CA8" w:rsidRDefault="006A659F" w:rsidP="00BF09F4">
            <w:pPr>
              <w:pStyle w:val="Khc0"/>
              <w:numPr>
                <w:ilvl w:val="0"/>
                <w:numId w:val="4"/>
              </w:numPr>
              <w:tabs>
                <w:tab w:val="left" w:pos="245"/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statements 2022 and report on the use of charter capital of the Corporation;</w:t>
            </w:r>
          </w:p>
          <w:p w14:paraId="2FC575FE" w14:textId="70F65066" w:rsidR="006A659F" w:rsidRPr="000B0CA8" w:rsidRDefault="006A659F" w:rsidP="00BF09F4">
            <w:pPr>
              <w:pStyle w:val="Khc0"/>
              <w:numPr>
                <w:ilvl w:val="0"/>
                <w:numId w:val="4"/>
              </w:numPr>
              <w:tabs>
                <w:tab w:val="left" w:pos="245"/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distribution plan for 2022;</w:t>
            </w:r>
          </w:p>
          <w:p w14:paraId="454C609F" w14:textId="77777777" w:rsidR="006A659F" w:rsidRPr="000B0CA8" w:rsidRDefault="006A659F" w:rsidP="00BF09F4">
            <w:pPr>
              <w:pStyle w:val="Khc0"/>
              <w:numPr>
                <w:ilvl w:val="0"/>
                <w:numId w:val="4"/>
              </w:numPr>
              <w:tabs>
                <w:tab w:val="left" w:pos="235"/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Board of Supervisors (“BOS”) in 2022 and in the term of 2018-2023;</w:t>
            </w:r>
          </w:p>
          <w:p w14:paraId="1E239B51" w14:textId="75A7D243" w:rsidR="006A659F" w:rsidRPr="000B0CA8" w:rsidRDefault="006A659F" w:rsidP="00BF09F4">
            <w:pPr>
              <w:pStyle w:val="Khc0"/>
              <w:numPr>
                <w:ilvl w:val="0"/>
                <w:numId w:val="4"/>
              </w:numPr>
              <w:tabs>
                <w:tab w:val="left" w:pos="240"/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on the remuneration of the Board of Directors and Supervisory Board in 2022;</w:t>
            </w:r>
          </w:p>
          <w:p w14:paraId="570A26F3" w14:textId="6B3F6430" w:rsidR="006A659F" w:rsidRPr="000B0CA8" w:rsidRDefault="006A659F" w:rsidP="00BF09F4">
            <w:pPr>
              <w:pStyle w:val="Khc0"/>
              <w:numPr>
                <w:ilvl w:val="0"/>
                <w:numId w:val="4"/>
              </w:numPr>
              <w:tabs>
                <w:tab w:val="left" w:pos="240"/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on the election of</w:t>
            </w:r>
            <w:r w:rsidR="00455736">
              <w:rPr>
                <w:rFonts w:ascii="Arial" w:hAnsi="Arial"/>
                <w:color w:val="010000"/>
                <w:sz w:val="20"/>
              </w:rPr>
              <w:t xml:space="preserve"> the Board of Directors and </w:t>
            </w:r>
            <w:r>
              <w:rPr>
                <w:rFonts w:ascii="Arial" w:hAnsi="Arial"/>
                <w:color w:val="010000"/>
                <w:sz w:val="20"/>
              </w:rPr>
              <w:t>Supervisory Board in the t</w:t>
            </w:r>
            <w:r w:rsidR="00455736">
              <w:rPr>
                <w:rFonts w:ascii="Arial" w:hAnsi="Arial"/>
                <w:color w:val="010000"/>
                <w:sz w:val="20"/>
              </w:rPr>
              <w:t xml:space="preserve">erm </w:t>
            </w:r>
            <w:r>
              <w:rPr>
                <w:rFonts w:ascii="Arial" w:hAnsi="Arial"/>
                <w:color w:val="010000"/>
                <w:sz w:val="20"/>
              </w:rPr>
              <w:t>2023-2028;</w:t>
            </w:r>
          </w:p>
          <w:p w14:paraId="3B851EC8" w14:textId="77777777" w:rsidR="006A659F" w:rsidRPr="000B0CA8" w:rsidRDefault="006A659F" w:rsidP="00BF09F4">
            <w:pPr>
              <w:pStyle w:val="Khc0"/>
              <w:numPr>
                <w:ilvl w:val="0"/>
                <w:numId w:val="4"/>
              </w:numPr>
              <w:tabs>
                <w:tab w:val="left" w:pos="240"/>
                <w:tab w:val="left" w:pos="360"/>
              </w:tabs>
              <w:spacing w:after="120" w:line="360" w:lineRule="auto"/>
              <w:rPr>
                <w:rFonts w:ascii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on approval of transaction policies with related parties.</w:t>
            </w:r>
          </w:p>
        </w:tc>
      </w:tr>
    </w:tbl>
    <w:p w14:paraId="21497D23" w14:textId="6878C234" w:rsidR="004D32A5" w:rsidRPr="000B0CA8" w:rsidRDefault="00A3091F" w:rsidP="00BF09F4">
      <w:pPr>
        <w:pStyle w:val="Tiu20"/>
        <w:keepNext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Board of Directors (Annual Report 2023):</w:t>
      </w:r>
    </w:p>
    <w:p w14:paraId="1B526CA7" w14:textId="42192CDD" w:rsidR="004D32A5" w:rsidRPr="000B0CA8" w:rsidRDefault="00A3091F" w:rsidP="00BF09F4">
      <w:pPr>
        <w:pStyle w:val="Tiu30"/>
        <w:keepNext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outlineLvl w:val="9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3710"/>
        <w:gridCol w:w="3401"/>
        <w:gridCol w:w="2104"/>
        <w:gridCol w:w="2081"/>
        <w:gridCol w:w="1649"/>
      </w:tblGrid>
      <w:tr w:rsidR="004D32A5" w:rsidRPr="000B0CA8" w14:paraId="47E67AC9" w14:textId="77777777" w:rsidTr="000B0CA8">
        <w:trPr>
          <w:cantSplit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6B3DE" w14:textId="0511AB19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F4ACE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57DC1" w14:textId="0F4E49BD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members of the Board of Directors, non-executive members of the Board of Directors)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62270" w14:textId="633F5A80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0DE9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5E0D15" w:rsidRPr="000B0CA8" w14:paraId="764A92EA" w14:textId="77777777" w:rsidTr="000B0CA8">
        <w:trPr>
          <w:cantSplit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1545F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EBB2A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F47CD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3B9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511EF" w14:textId="7E1BAF8A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BDE4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5E0D15" w:rsidRPr="000B0CA8" w14:paraId="6FF80797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318F7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17C3E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Dao Xuan Vu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5F777" w14:textId="7ECAB33B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Directors, non-executive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352EB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0CE2D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65CB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5E0D15" w:rsidRPr="000B0CA8" w14:paraId="14EB13BF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82CF6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18BA6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Hai Ly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70E36" w14:textId="7E18A7CE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Directors, Non-executive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8FC3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12, 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0C40B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8959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5E0D15" w:rsidRPr="000B0CA8" w14:paraId="50EF36CC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135F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02BAF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Phung Van Cuong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8A215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EBA60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0B7F1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3B77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5E0D15" w:rsidRPr="000B0CA8" w14:paraId="7A9D5351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60B27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67EE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Duc Quang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E61EA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F4897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0A8FD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CD8C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5E0D15" w:rsidRPr="000B0CA8" w14:paraId="105D3656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2340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1BB4C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Cao Loi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AF72E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950E6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1500F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4949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5E0D15" w:rsidRPr="000B0CA8" w14:paraId="66E7E186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A3949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4A0A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Xuan Hung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304AB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71F9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2B280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B484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5E0D15" w:rsidRPr="000B0CA8" w14:paraId="639F5D46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3CD02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CC52E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Hoa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54E6D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E87D6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DE739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3E50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5E0D15" w:rsidRPr="000B0CA8" w14:paraId="2AC10495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A3AF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41AB3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Dat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11547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A0CDF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CBD2D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2C0F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5E0D15" w:rsidRPr="000B0CA8" w14:paraId="0DB120C7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98665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5A85C" w14:textId="64C72FE9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Phan Truong Son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898D5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BDAD4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6BA60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DA08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5E0D15" w:rsidRPr="000B0CA8" w14:paraId="59D912D5" w14:textId="77777777" w:rsidTr="000B0CA8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32ACA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D5F93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Thanh Nga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85C3A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6DE0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0C54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1B1F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1656AF85" w14:textId="2EC04EB9" w:rsidR="004D32A5" w:rsidRPr="000B0CA8" w:rsidRDefault="00A3091F" w:rsidP="00BF09F4">
      <w:pPr>
        <w:pStyle w:val="Chthchbng0"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Board Resolutions in 2023: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2249"/>
        <w:gridCol w:w="1802"/>
        <w:gridCol w:w="9273"/>
      </w:tblGrid>
      <w:tr w:rsidR="00432DC9" w:rsidRPr="000B0CA8" w14:paraId="784A6266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698479A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AFFA0F4" w14:textId="10B2A056" w:rsidR="00432DC9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BCEB1D1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3887E75" w14:textId="2FBDCF72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455736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432DC9" w:rsidRPr="000B0CA8" w14:paraId="03E54C17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58ADD099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F286D01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CEA76A8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9D70D2E" w14:textId="6B6B4723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policy of signing extension of project management contracts for foreign market companies between the Corporation and its units: Viettel Global Investment Joint Stock Company, Viettel Solutions, Viettel Networks, Viettel Digital Services Corporation, Viettel Cyber Security</w:t>
            </w:r>
          </w:p>
        </w:tc>
      </w:tr>
      <w:tr w:rsidR="00432DC9" w:rsidRPr="000B0CA8" w14:paraId="6B3338FA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0EA4C2CF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1D2385E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C95EB1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0427F66" w14:textId="70F59ACD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authorizing Deputy </w:t>
            </w:r>
            <w:r w:rsidR="00455736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Nguyen Thi Hoa to represent the Corporation to work in Tanzania</w:t>
            </w:r>
          </w:p>
        </w:tc>
      </w:tr>
      <w:tr w:rsidR="00432DC9" w:rsidRPr="000B0CA8" w14:paraId="742C65FF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271DC80E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C909707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1FECE7F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744A7A3" w14:textId="01900F50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Corporation's capital representative at Viettel Burundi Company's to invest in policy in solar cells</w:t>
            </w:r>
          </w:p>
        </w:tc>
      </w:tr>
      <w:tr w:rsidR="00432DC9" w:rsidRPr="000B0CA8" w14:paraId="521A3B3E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6651D747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CBCB181" w14:textId="3A50BCB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DF2A597" w14:textId="77777777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0C751EC" w14:textId="60D67FF9" w:rsidR="00432DC9" w:rsidRPr="000B0CA8" w:rsidRDefault="00432DC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production, business and investment plan in 2022 of the Corporation and market companies</w:t>
            </w:r>
          </w:p>
        </w:tc>
      </w:tr>
      <w:tr w:rsidR="00BA4DD2" w:rsidRPr="000B0CA8" w14:paraId="016E4292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66A1E77F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C3AE10E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9D8C1D6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B90EA02" w14:textId="706E6C70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plan to </w:t>
            </w:r>
            <w:r w:rsidR="00455736">
              <w:rPr>
                <w:rFonts w:ascii="Arial" w:hAnsi="Arial"/>
                <w:color w:val="010000"/>
                <w:sz w:val="20"/>
              </w:rPr>
              <w:t>convene</w:t>
            </w:r>
            <w:r>
              <w:rPr>
                <w:rFonts w:ascii="Arial" w:hAnsi="Arial"/>
                <w:color w:val="010000"/>
                <w:sz w:val="20"/>
              </w:rPr>
              <w:t xml:space="preserve"> the </w:t>
            </w:r>
            <w:r w:rsidR="00455736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BA4DD2" w:rsidRPr="000B0CA8" w14:paraId="7FEA11D3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DFC879E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BEBBB86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85E41C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148CFD9C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Cambodia Company to liquidate assets</w:t>
            </w:r>
          </w:p>
        </w:tc>
      </w:tr>
      <w:tr w:rsidR="00BA4DD2" w:rsidRPr="000B0CA8" w14:paraId="698FFBC4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51BAC8C8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5B587B0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023150D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CEB4A58" w14:textId="2B497A7D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Timor Company to adjust the cost of purchasing frequencies</w:t>
            </w:r>
          </w:p>
        </w:tc>
      </w:tr>
      <w:tr w:rsidR="00BA4DD2" w:rsidRPr="000B0CA8" w14:paraId="5B8CF2B6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53BA7A53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3F3A01D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45249D6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3E74D4B" w14:textId="5F709126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appointment of Deputy </w:t>
            </w:r>
            <w:r w:rsidR="00455736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Corporation</w:t>
            </w:r>
          </w:p>
        </w:tc>
      </w:tr>
      <w:tr w:rsidR="00BA4DD2" w:rsidRPr="000B0CA8" w14:paraId="5F218E0C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4948205C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F0E4701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1C6EC8C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176D8204" w14:textId="7AB10C01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on the management flow</w:t>
            </w:r>
            <w:r w:rsidR="00455736">
              <w:rPr>
                <w:rFonts w:ascii="Arial" w:hAnsi="Arial"/>
                <w:color w:val="010000"/>
                <w:sz w:val="20"/>
              </w:rPr>
              <w:t>chart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 level 4</w:t>
            </w:r>
          </w:p>
        </w:tc>
      </w:tr>
      <w:tr w:rsidR="00BA4DD2" w:rsidRPr="000B0CA8" w14:paraId="10337B9B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25533DD9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5787F5C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ABA9182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26D250E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Viettel Movitel Company</w:t>
            </w:r>
          </w:p>
        </w:tc>
      </w:tr>
      <w:tr w:rsidR="00BA4DD2" w:rsidRPr="000B0CA8" w14:paraId="10A219DA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2219A3E8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CB1B068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7C9574D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9,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22716C9" w14:textId="012FAB2C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loan transaction with Tien Phong Commercial Joint Stock Bank</w:t>
            </w:r>
          </w:p>
        </w:tc>
      </w:tr>
      <w:tr w:rsidR="00BA4DD2" w:rsidRPr="000B0CA8" w14:paraId="6CAB1C22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35C68B33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CD6F68D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BD3C96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9,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FCA3DA0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Viettel Cambodia Company</w:t>
            </w:r>
          </w:p>
        </w:tc>
      </w:tr>
      <w:tr w:rsidR="00BA4DD2" w:rsidRPr="000B0CA8" w14:paraId="4B5B4D33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B632B99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68C987A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AC23897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801E282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Viettel Peru Company</w:t>
            </w:r>
          </w:p>
        </w:tc>
      </w:tr>
      <w:tr w:rsidR="00BA4DD2" w:rsidRPr="000B0CA8" w14:paraId="40922208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08AD6B4E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FFA57A3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2011348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E4D8FCB" w14:textId="2374BB50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change of capital representative of the Corporation at Viettel Cameroon Company</w:t>
            </w:r>
          </w:p>
        </w:tc>
      </w:tr>
      <w:tr w:rsidR="00BA4DD2" w:rsidRPr="000B0CA8" w14:paraId="7202B4E7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41306B17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989378E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0253980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F1BA12A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Viettel Cambodia Company</w:t>
            </w:r>
          </w:p>
        </w:tc>
      </w:tr>
      <w:tr w:rsidR="00BA4DD2" w:rsidRPr="000B0CA8" w14:paraId="4CAAB5C2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6CE2EA4A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8431A22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04A/NQ-HDQT-VTG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14E70EE" w14:textId="77777777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94F277C" w14:textId="504C936F" w:rsidR="00BA4DD2" w:rsidRPr="000B0CA8" w:rsidRDefault="00BA4DD2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contents submitted to the Annual </w:t>
            </w:r>
            <w:r w:rsidR="00455736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A25131" w:rsidRPr="000B0CA8" w14:paraId="61874CB5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8505F74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E6AD250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3131391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2DE2669C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Corporation's organizational chart</w:t>
            </w:r>
          </w:p>
        </w:tc>
      </w:tr>
      <w:tr w:rsidR="00A25131" w:rsidRPr="000B0CA8" w14:paraId="6342ED0A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E969406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1B95C9C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22/NQ-HDQT-VTG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F228984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B025350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Corporation's salary regulations</w:t>
            </w:r>
          </w:p>
        </w:tc>
      </w:tr>
      <w:tr w:rsidR="00A25131" w:rsidRPr="000B0CA8" w14:paraId="0CF7D9EA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98C95B1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15760D9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02B2B7D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23303F44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nomination of members of the Board of Directors and the Supervisory Board in the term of 2023-2028</w:t>
            </w:r>
          </w:p>
        </w:tc>
      </w:tr>
      <w:tr w:rsidR="00A25131" w:rsidRPr="000B0CA8" w14:paraId="18267934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B6FA10E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4824EA9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23A/NQ-HDQT-VTG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6106231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2D93BF81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salary settlement for 2022</w:t>
            </w:r>
          </w:p>
        </w:tc>
      </w:tr>
      <w:tr w:rsidR="00A25131" w:rsidRPr="000B0CA8" w14:paraId="4DC9923D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704825B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30994F5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1A441D0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57D94FD" w14:textId="120B3A42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change of the Chief Accountant of the Corporation</w:t>
            </w:r>
          </w:p>
        </w:tc>
      </w:tr>
      <w:tr w:rsidR="00A25131" w:rsidRPr="000B0CA8" w14:paraId="7D0C38BA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48FC1051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90ACB52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E26BEBC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2F702A1C" w14:textId="01326C58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issuance of Regulations on capital representatives of the Corporation</w:t>
            </w:r>
          </w:p>
        </w:tc>
      </w:tr>
      <w:tr w:rsidR="00A25131" w:rsidRPr="000B0CA8" w14:paraId="293AC8C3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58E93F7D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7358B6F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C32DFD1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5,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6C11B22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election of the Chair of the Board of Directors and the assignment of tasks to the Board of Directors</w:t>
            </w:r>
          </w:p>
        </w:tc>
      </w:tr>
      <w:tr w:rsidR="00A25131" w:rsidRPr="000B0CA8" w14:paraId="7F4730EA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4F349969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FEE304E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30/NQ-HDQT-VTG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FBFEE09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5,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11BB6F8" w14:textId="6A7D08EA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dismissal of the Deputy </w:t>
            </w:r>
            <w:r w:rsidR="00455736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Corporation</w:t>
            </w:r>
          </w:p>
        </w:tc>
      </w:tr>
      <w:tr w:rsidR="00A25131" w:rsidRPr="000B0CA8" w14:paraId="451688B4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692C85A1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C0F5ECE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4B50591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5,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FA3418C" w14:textId="0C071EBE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Tanzania Company to participate in bidding for additional frequencies</w:t>
            </w:r>
          </w:p>
        </w:tc>
      </w:tr>
      <w:tr w:rsidR="00A25131" w:rsidRPr="000B0CA8" w14:paraId="5BEEE7FF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0C872A00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862F5DA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32/NQ-HDQT-VTG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77E7A58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22,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A286D1D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Viettel Cambodia Company</w:t>
            </w:r>
          </w:p>
        </w:tc>
      </w:tr>
      <w:tr w:rsidR="00A25131" w:rsidRPr="000B0CA8" w14:paraId="68E9DCE6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7470224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27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A2A1D7B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33/NQ-HDQT-VTG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CB9E202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22,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22036FA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to sell equipment for Star Telecom Co., Ltd</w:t>
            </w:r>
          </w:p>
        </w:tc>
      </w:tr>
      <w:tr w:rsidR="00A25131" w:rsidRPr="000B0CA8" w14:paraId="626412A2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6ECC59B7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09AAC7B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35/NQ-HDQT-VTG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8D7ACD9" w14:textId="77777777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50EC338" w14:textId="772DC89F" w:rsidR="00A25131" w:rsidRPr="000B0CA8" w:rsidRDefault="00A2513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National Telecom Company to adjust the remuneration for the Board of Directors</w:t>
            </w:r>
          </w:p>
        </w:tc>
      </w:tr>
      <w:tr w:rsidR="0062207E" w:rsidRPr="000B0CA8" w14:paraId="6CDE8CBE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26FFE896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28A88ED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36/NQ-HDQT-VTG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7B3BC0C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2541EAEF" w14:textId="335BA8A4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extension of project management contracts with Star Telecom Company and Natcom Company</w:t>
            </w:r>
          </w:p>
        </w:tc>
      </w:tr>
      <w:tr w:rsidR="0062207E" w:rsidRPr="000B0CA8" w14:paraId="39AF503F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30CA3E86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9CD6AED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37/NQ-HDQT-VTG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88BF48B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C31484B" w14:textId="2A513723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policy of signing a project management contract with Viettel Burundi Company</w:t>
            </w:r>
          </w:p>
        </w:tc>
      </w:tr>
      <w:tr w:rsidR="0062207E" w:rsidRPr="000B0CA8" w14:paraId="315B5DF3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5A6430D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6670C1C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38/NQ-HDQT-VTG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A486576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5,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26695129" w14:textId="602646C0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Movitel Company for the policy of subleasing the station</w:t>
            </w:r>
          </w:p>
        </w:tc>
      </w:tr>
      <w:tr w:rsidR="0062207E" w:rsidRPr="000B0CA8" w14:paraId="1E64AB58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92FF4C4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FCDD399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39/NQ-HDQT-VTG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63B90F6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10,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6351B49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Viettel Timor Company</w:t>
            </w:r>
          </w:p>
        </w:tc>
      </w:tr>
      <w:tr w:rsidR="0062207E" w:rsidRPr="000B0CA8" w14:paraId="598438B9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70E110F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1B127DF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40/NQ-HDQT-VTG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4534B0F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1A736F5E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purchase of services from Viettel Logistics Company</w:t>
            </w:r>
          </w:p>
        </w:tc>
      </w:tr>
      <w:tr w:rsidR="0062207E" w:rsidRPr="000B0CA8" w14:paraId="643BF70B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4080E74D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C364380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8C846C3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64F88B1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Movitel Company</w:t>
            </w:r>
          </w:p>
        </w:tc>
      </w:tr>
      <w:tr w:rsidR="0062207E" w:rsidRPr="000B0CA8" w14:paraId="4CD72122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6B814DDD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A951490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442CD21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1C42549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Natcom Company</w:t>
            </w:r>
          </w:p>
        </w:tc>
      </w:tr>
      <w:tr w:rsidR="0062207E" w:rsidRPr="000B0CA8" w14:paraId="373469D0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41EF75B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3044E60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73F9D81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1E8A3588" w14:textId="7F145571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Viettel Cambodia Company</w:t>
            </w:r>
          </w:p>
        </w:tc>
      </w:tr>
      <w:tr w:rsidR="0062207E" w:rsidRPr="000B0CA8" w14:paraId="52055E3C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0CC2E5F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41BDC3C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45/NQ-HDQT-VTG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BDCCF07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0FF023C" w14:textId="6BE0700D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Star Telecom Company to liquidate assets</w:t>
            </w:r>
          </w:p>
        </w:tc>
      </w:tr>
      <w:tr w:rsidR="0062207E" w:rsidRPr="000B0CA8" w14:paraId="39D6221D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32FD049B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FA68753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46/NQ-HDQT-VTG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2A24CE7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76CF3EA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change of members of the Board of Directors of Natcom Company</w:t>
            </w:r>
          </w:p>
        </w:tc>
      </w:tr>
      <w:tr w:rsidR="0062207E" w:rsidRPr="000B0CA8" w14:paraId="4BDE948C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66E77EA9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9F30836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47/NQ-HDQT-VTG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B8EF242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15F0A45F" w14:textId="7DA94660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on approving the response to the request of the capital representative of the Corporation at Mytel Company to nominate personnel to replace the Deputy </w:t>
            </w:r>
            <w:r w:rsidR="00455736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62207E" w:rsidRPr="000B0CA8" w14:paraId="7687B48C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34F59601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40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C88615B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48/NQ-HDQT-VTG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70BB45B" w14:textId="77777777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712C7CD" w14:textId="0A2781D1" w:rsidR="0062207E" w:rsidRPr="000B0CA8" w:rsidRDefault="0062207E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Timor Company for the issuance of salary regulations</w:t>
            </w:r>
          </w:p>
        </w:tc>
      </w:tr>
      <w:tr w:rsidR="00070699" w:rsidRPr="000B0CA8" w14:paraId="3331BE47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5E8661F4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41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468A96D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50/NQ-HDQT-VTG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E38A7FF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E919C9A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issuance of Regulations on 3 risks of the Corporation</w:t>
            </w:r>
          </w:p>
        </w:tc>
      </w:tr>
      <w:tr w:rsidR="00070699" w:rsidRPr="000B0CA8" w14:paraId="069FE644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65D66DD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83FE130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51/NQ-HDQT-VTG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5AEAB0D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8E50FE6" w14:textId="2CEE9423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issuance of Financial Management Regulations and Debt Management Regulations of the Corporation</w:t>
            </w:r>
          </w:p>
        </w:tc>
      </w:tr>
      <w:tr w:rsidR="00070699" w:rsidRPr="000B0CA8" w14:paraId="5053EB97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3F516DFC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43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1F527A0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52/NQ-HDQT-VTG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4FDFF1E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F30DB25" w14:textId="7FD76D46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Natcom Company for  profit distribution in 2022</w:t>
            </w:r>
          </w:p>
        </w:tc>
      </w:tr>
      <w:tr w:rsidR="00070699" w:rsidRPr="000B0CA8" w14:paraId="6513AA83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3E81CED5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4E88617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53/NQ-HDQT-VTG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76CE97D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8461EAC" w14:textId="2524079C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Movitel Company to liquidate assets</w:t>
            </w:r>
          </w:p>
        </w:tc>
      </w:tr>
      <w:tr w:rsidR="00070699" w:rsidRPr="000B0CA8" w14:paraId="3F6E96A9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3E81515C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45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21B143C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54/NQ-HDQT-VTG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3E40528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DA6B4B0" w14:textId="47A19A69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Cambodia Company to liquidate assets</w:t>
            </w:r>
          </w:p>
        </w:tc>
      </w:tr>
      <w:tr w:rsidR="00070699" w:rsidRPr="000B0CA8" w14:paraId="38F435FF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0969941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46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C820D81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55/NQ-HDQT-VTG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44D053A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9CE432F" w14:textId="2E40DE12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Star Telecom Company to advance dividends in Q1/2022</w:t>
            </w:r>
          </w:p>
        </w:tc>
      </w:tr>
      <w:tr w:rsidR="00070699" w:rsidRPr="000B0CA8" w14:paraId="3EF49F07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0BC83BE6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47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BAEAC3E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56/NQ-HDQT-VTG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7127728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A71E896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Timor Company for profit distribution in 2022</w:t>
            </w:r>
          </w:p>
        </w:tc>
      </w:tr>
      <w:tr w:rsidR="00070699" w:rsidRPr="000B0CA8" w14:paraId="4DC68467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4985B5E5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48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99FF0AD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58/NQ-HDQT-VTG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7E0F88F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CAC6C61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implementation plan with partners in Cameroon</w:t>
            </w:r>
          </w:p>
        </w:tc>
      </w:tr>
      <w:tr w:rsidR="00070699" w:rsidRPr="000B0CA8" w14:paraId="4072DFE7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53D241FA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49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439F680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59/NQ-HDQT-VTG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EB26ECD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1E51BAAA" w14:textId="5FA6CA8A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debt clearing plan of Mytel Company</w:t>
            </w:r>
          </w:p>
        </w:tc>
      </w:tr>
      <w:tr w:rsidR="00070699" w:rsidRPr="000B0CA8" w14:paraId="50F902C2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2047A16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50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0CC5750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60/NQ-HDQT-VTG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A3E702E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8625F90" w14:textId="68FEB1D0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Cambodia Company for the policy of asset liquidation</w:t>
            </w:r>
          </w:p>
        </w:tc>
      </w:tr>
      <w:tr w:rsidR="00070699" w:rsidRPr="000B0CA8" w14:paraId="6A4D451F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BEBB872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51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D0FE3CE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61/NQ-HDQT-VTG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5A30904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A9D9440" w14:textId="7AC9A144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Tanzania to approve the Salary Regulation</w:t>
            </w:r>
          </w:p>
        </w:tc>
      </w:tr>
      <w:tr w:rsidR="00070699" w:rsidRPr="000B0CA8" w14:paraId="6BF0ED46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3161A95A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AAABB8A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62/NQ-HDQT-VTG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2E94871" w14:textId="77777777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A8CF070" w14:textId="7D3F2678" w:rsidR="00070699" w:rsidRPr="000B0CA8" w:rsidRDefault="0007069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signing of a contract to hire a partner to build financial information management software and invest in management information system infrastructure</w:t>
            </w:r>
          </w:p>
        </w:tc>
      </w:tr>
      <w:tr w:rsidR="009B7104" w:rsidRPr="000B0CA8" w14:paraId="3F1BCDF6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2876AA3F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53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B6DFC04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64/NQ-HDQT-VTG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56A0A14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0119F60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dissolution of the Myanmar representative office</w:t>
            </w:r>
          </w:p>
        </w:tc>
      </w:tr>
      <w:tr w:rsidR="009B7104" w:rsidRPr="000B0CA8" w14:paraId="2E779073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28B93707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480D4CB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65/NQ-HDQT-VTG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D705400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19535F31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Movitel Company to liquidate assets</w:t>
            </w:r>
          </w:p>
        </w:tc>
      </w:tr>
      <w:tr w:rsidR="009B7104" w:rsidRPr="000B0CA8" w14:paraId="1D5E6506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3BED67B7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55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DB0AC74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66/NQ-HDQT-VTG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DD490DF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EC66D5C" w14:textId="4A04E8B2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Cambodia Company to nominate personnel to replace the Deputy General Technical Manager</w:t>
            </w:r>
          </w:p>
        </w:tc>
      </w:tr>
      <w:tr w:rsidR="009B7104" w:rsidRPr="000B0CA8" w14:paraId="1A53F782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495661BC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56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1F038E0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68/NQ-HDQT-VTG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7C2991B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F786F56" w14:textId="51C1F5F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Cambodia Company for phase 2 investment</w:t>
            </w:r>
          </w:p>
        </w:tc>
      </w:tr>
      <w:tr w:rsidR="009B7104" w:rsidRPr="000B0CA8" w14:paraId="793E8B21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224AF1B9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57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028023A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69/NQ-HDQT-VTG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9EA3182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4,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879F1CF" w14:textId="569B53D5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Movitel Company for phase 2 investment</w:t>
            </w:r>
          </w:p>
        </w:tc>
      </w:tr>
      <w:tr w:rsidR="009B7104" w:rsidRPr="000B0CA8" w14:paraId="48E43144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6F6C77C8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58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F3C2B2B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70/NQ-HDQT-VTG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250DFAC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8,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3A19529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Corporation's risk appetite</w:t>
            </w:r>
          </w:p>
        </w:tc>
      </w:tr>
      <w:tr w:rsidR="009B7104" w:rsidRPr="000B0CA8" w14:paraId="4962F833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542E2B4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59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2000DE7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71/NQ-HDQT-VTG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72209CB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8,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FDE9765" w14:textId="152968AF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Tanzania Company to approve the loan with Standard Chartered Bank</w:t>
            </w:r>
          </w:p>
        </w:tc>
      </w:tr>
      <w:tr w:rsidR="009B7104" w:rsidRPr="000B0CA8" w14:paraId="1BECFC46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4D895C4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60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3F666DB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72/NQ-HDQT-VTG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ED4B3B5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8,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10FED98F" w14:textId="4E4CDF50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Star Telecom Company for phase 2 investment</w:t>
            </w:r>
          </w:p>
        </w:tc>
      </w:tr>
      <w:tr w:rsidR="009B7104" w:rsidRPr="000B0CA8" w14:paraId="6538F082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6D96BB2E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61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A97C4ED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73/NQ-HDQT-VTG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B6AA39F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Decemebr 19,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513D758" w14:textId="3D7BBA23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of the capital representative of the Corporation at Viettel Tanzania Company signing a loan contract with Saigon Commercial Joint Stock Bank and Tien Phong Commercial Joint Stock Bank</w:t>
            </w:r>
          </w:p>
        </w:tc>
      </w:tr>
      <w:tr w:rsidR="009B7104" w:rsidRPr="000B0CA8" w14:paraId="372A9FF3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546F8524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5538EB8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74/NQ-HDQT-VTG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196FE1E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Decemebr 12,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189F6D23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authorization for Ms. Nguyen Thi Hoa to represent the Corporation to work in Tanzania</w:t>
            </w:r>
          </w:p>
        </w:tc>
      </w:tr>
      <w:tr w:rsidR="009B7104" w:rsidRPr="000B0CA8" w14:paraId="288F517A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7946F026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63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177D33F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75/NQ-HDQT-VTG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CEFF206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26,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C24BDB9" w14:textId="77777777" w:rsidR="009B7104" w:rsidRPr="000B0CA8" w:rsidRDefault="009B71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requets of the capital representative of the Corporation at Natcom Company to liquidate assets</w:t>
            </w:r>
          </w:p>
        </w:tc>
      </w:tr>
      <w:tr w:rsidR="00E12B11" w:rsidRPr="000B0CA8" w14:paraId="1236C099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444D2C7B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FB043EC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76/NQ-HDQT-VTG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82A9B64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597F8F5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sale of equipment to Viettel Cambodia Company</w:t>
            </w:r>
          </w:p>
        </w:tc>
      </w:tr>
      <w:tr w:rsidR="00E12B11" w:rsidRPr="000B0CA8" w14:paraId="1F65BE51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59876F25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65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BBFB5CF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77/NQ-HDQT-VTG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4AE9819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90DBF03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response to the request of the capital representative of the Corporation at Viettel Cambodia Company to liquidate assets</w:t>
            </w:r>
          </w:p>
        </w:tc>
      </w:tr>
      <w:tr w:rsidR="00E12B11" w:rsidRPr="000B0CA8" w14:paraId="70C9A1BE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1D42F661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66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CF2AF9F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78/NQ-HDQT-VTG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5482C11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CCF890D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signing of a project management contract with Viettel Cambodia Company</w:t>
            </w:r>
          </w:p>
        </w:tc>
      </w:tr>
      <w:tr w:rsidR="00E12B11" w:rsidRPr="000B0CA8" w14:paraId="72658AF9" w14:textId="77777777" w:rsidTr="00455736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14:paraId="024EF721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67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A6B5F44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79/NQ-HDQT-VTG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43288F9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1BD9E0F" w14:textId="77777777" w:rsidR="00E12B11" w:rsidRPr="000B0CA8" w:rsidRDefault="00E12B11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signing of a project management contract with Viettel Tanzania Company</w:t>
            </w:r>
          </w:p>
        </w:tc>
      </w:tr>
    </w:tbl>
    <w:p w14:paraId="085F44C1" w14:textId="23A2A9E7" w:rsidR="004D32A5" w:rsidRPr="000B0CA8" w:rsidRDefault="00A3091F" w:rsidP="00BF09F4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Supervisory Board (Annual Report 2023):</w:t>
      </w:r>
    </w:p>
    <w:p w14:paraId="49DD47D3" w14:textId="77777777" w:rsidR="004D32A5" w:rsidRPr="000B0CA8" w:rsidRDefault="00A3091F" w:rsidP="00BF09F4">
      <w:pPr>
        <w:pStyle w:val="Tiu30"/>
        <w:keepNext/>
        <w:numPr>
          <w:ilvl w:val="0"/>
          <w:numId w:val="6"/>
        </w:numPr>
        <w:tabs>
          <w:tab w:val="left" w:pos="349"/>
        </w:tabs>
        <w:spacing w:after="120" w:line="360" w:lineRule="auto"/>
        <w:outlineLvl w:val="9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3209"/>
        <w:gridCol w:w="3047"/>
        <w:gridCol w:w="1890"/>
        <w:gridCol w:w="1785"/>
        <w:gridCol w:w="3169"/>
      </w:tblGrid>
      <w:tr w:rsidR="005E0D15" w:rsidRPr="000B0CA8" w14:paraId="0EEAA781" w14:textId="77777777" w:rsidTr="00ED502E">
        <w:trPr>
          <w:cantSplit/>
        </w:trPr>
        <w:tc>
          <w:tcPr>
            <w:tcW w:w="304" w:type="pct"/>
            <w:shd w:val="clear" w:color="auto" w:fill="auto"/>
            <w:vAlign w:val="center"/>
          </w:tcPr>
          <w:p w14:paraId="49194DD5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6ACBB899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475A5B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063391E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993135C" w14:textId="6791BE9D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 as a member of the Supervisory Board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B12E512" w14:textId="3C74703A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5E0D15" w:rsidRPr="000B0CA8" w14:paraId="1F4167D2" w14:textId="77777777" w:rsidTr="00ED502E">
        <w:trPr>
          <w:cantSplit/>
        </w:trPr>
        <w:tc>
          <w:tcPr>
            <w:tcW w:w="304" w:type="pct"/>
            <w:shd w:val="clear" w:color="auto" w:fill="auto"/>
            <w:vAlign w:val="center"/>
          </w:tcPr>
          <w:p w14:paraId="5B28A9AC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420212F6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Quang Tiep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49E3B49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25554A25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2018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40A3320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2658299E" w14:textId="4733A044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5E0D15" w:rsidRPr="000B0CA8" w14:paraId="304F58B8" w14:textId="77777777" w:rsidTr="00ED502E">
        <w:trPr>
          <w:cantSplit/>
        </w:trPr>
        <w:tc>
          <w:tcPr>
            <w:tcW w:w="304" w:type="pct"/>
            <w:shd w:val="clear" w:color="auto" w:fill="auto"/>
            <w:vAlign w:val="center"/>
          </w:tcPr>
          <w:p w14:paraId="2B389977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35642A3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Quan Thi Thu Ha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E5894BA" w14:textId="4A7D0A8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74E8A00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2018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B10E117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319806F3" w14:textId="449631CB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5E0D15" w:rsidRPr="000B0CA8" w14:paraId="7B19B20B" w14:textId="77777777" w:rsidTr="00ED502E">
        <w:trPr>
          <w:cantSplit/>
        </w:trPr>
        <w:tc>
          <w:tcPr>
            <w:tcW w:w="304" w:type="pct"/>
            <w:shd w:val="clear" w:color="auto" w:fill="auto"/>
            <w:vAlign w:val="center"/>
          </w:tcPr>
          <w:p w14:paraId="6F0B4669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1E99137F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Hoai Bac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3E318D7" w14:textId="21DC4C39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A3CDD6E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29, 2020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C0778F6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35B85174" w14:textId="3385DB65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Finance and Banking</w:t>
            </w:r>
          </w:p>
        </w:tc>
      </w:tr>
      <w:tr w:rsidR="005E0D15" w:rsidRPr="000B0CA8" w14:paraId="23050FD8" w14:textId="77777777" w:rsidTr="00ED502E">
        <w:trPr>
          <w:cantSplit/>
        </w:trPr>
        <w:tc>
          <w:tcPr>
            <w:tcW w:w="304" w:type="pct"/>
            <w:shd w:val="clear" w:color="auto" w:fill="auto"/>
            <w:vAlign w:val="center"/>
          </w:tcPr>
          <w:p w14:paraId="23D04736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084895CC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Bui Van Thao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8707628" w14:textId="0B182073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D71A94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C7722D2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517F7DAC" w14:textId="460EA281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Business Accounting</w:t>
            </w:r>
          </w:p>
        </w:tc>
      </w:tr>
    </w:tbl>
    <w:p w14:paraId="4635A305" w14:textId="4BA21603" w:rsidR="004D32A5" w:rsidRPr="000B0CA8" w:rsidRDefault="00A3091F" w:rsidP="00BF09F4">
      <w:pPr>
        <w:pStyle w:val="Vnbnnidung0"/>
        <w:numPr>
          <w:ilvl w:val="0"/>
          <w:numId w:val="2"/>
        </w:numP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218"/>
        <w:gridCol w:w="2165"/>
        <w:gridCol w:w="2784"/>
        <w:gridCol w:w="2157"/>
        <w:gridCol w:w="2960"/>
      </w:tblGrid>
      <w:tr w:rsidR="005E0D15" w:rsidRPr="000B0CA8" w14:paraId="3D4A6A37" w14:textId="77777777" w:rsidTr="000B0CA8">
        <w:trPr>
          <w:cantSplit/>
        </w:trPr>
        <w:tc>
          <w:tcPr>
            <w:tcW w:w="238" w:type="pct"/>
            <w:shd w:val="clear" w:color="auto" w:fill="auto"/>
            <w:vAlign w:val="center"/>
          </w:tcPr>
          <w:p w14:paraId="12BBD527" w14:textId="3508512B" w:rsidR="004D32A5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4AED06F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2303A39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F365B0D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34FB9FF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49F45EE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</w:tr>
      <w:tr w:rsidR="005E0D15" w:rsidRPr="000B0CA8" w14:paraId="55AD77AD" w14:textId="77777777" w:rsidTr="000B0CA8">
        <w:trPr>
          <w:cantSplit/>
        </w:trPr>
        <w:tc>
          <w:tcPr>
            <w:tcW w:w="238" w:type="pct"/>
            <w:shd w:val="clear" w:color="auto" w:fill="auto"/>
            <w:vAlign w:val="center"/>
          </w:tcPr>
          <w:p w14:paraId="6AD9A70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AE8C833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Phung Van Cuong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F5529AB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1, 1981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12C302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73F45DF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16, 2022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168345C" w14:textId="62F42ADF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5E0D15" w:rsidRPr="000B0CA8" w14:paraId="544E4A44" w14:textId="77777777" w:rsidTr="000B0CA8">
        <w:trPr>
          <w:cantSplit/>
        </w:trPr>
        <w:tc>
          <w:tcPr>
            <w:tcW w:w="238" w:type="pct"/>
            <w:shd w:val="clear" w:color="auto" w:fill="auto"/>
            <w:vAlign w:val="center"/>
          </w:tcPr>
          <w:p w14:paraId="7AD501E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58B72E3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Cao Loi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6750DD0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30, 1977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39F9484" w14:textId="67A46B81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C116F62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9, 2018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3EADDDE" w14:textId="255AB8E5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455736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-cum-Chief Accountant</w:t>
            </w:r>
          </w:p>
        </w:tc>
      </w:tr>
      <w:tr w:rsidR="005E0D15" w:rsidRPr="000B0CA8" w14:paraId="5FECCDA6" w14:textId="77777777" w:rsidTr="000B0CA8">
        <w:trPr>
          <w:cantSplit/>
        </w:trPr>
        <w:tc>
          <w:tcPr>
            <w:tcW w:w="238" w:type="pct"/>
            <w:shd w:val="clear" w:color="auto" w:fill="auto"/>
            <w:vAlign w:val="center"/>
          </w:tcPr>
          <w:p w14:paraId="5A83EA85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11C8C5AA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Duc Quang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E53B9F6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1, 1968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D11FCD7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61DA237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1, 2023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9E4F736" w14:textId="0C38BA0C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455736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5E0D15" w:rsidRPr="000B0CA8" w14:paraId="135C2B40" w14:textId="77777777" w:rsidTr="000B0CA8">
        <w:trPr>
          <w:cantSplit/>
        </w:trPr>
        <w:tc>
          <w:tcPr>
            <w:tcW w:w="238" w:type="pct"/>
            <w:shd w:val="clear" w:color="auto" w:fill="auto"/>
            <w:vAlign w:val="center"/>
          </w:tcPr>
          <w:p w14:paraId="1A9A3D09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2A24530B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 The Duong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E929F7E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6, 1982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9FD7E16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CDAFF9D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4, 2019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88CF9E9" w14:textId="556C38D2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455736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</w:tbl>
    <w:p w14:paraId="51F3F44A" w14:textId="57060C25" w:rsidR="004D32A5" w:rsidRPr="000B0CA8" w:rsidRDefault="00A3091F" w:rsidP="00BF09F4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Chief Accountant: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2536"/>
        <w:gridCol w:w="3984"/>
        <w:gridCol w:w="4249"/>
      </w:tblGrid>
      <w:tr w:rsidR="004D32A5" w:rsidRPr="000B0CA8" w14:paraId="528EDF03" w14:textId="77777777" w:rsidTr="000B0CA8">
        <w:trPr>
          <w:cantSplit/>
        </w:trPr>
        <w:tc>
          <w:tcPr>
            <w:tcW w:w="1140" w:type="pct"/>
            <w:shd w:val="clear" w:color="auto" w:fill="auto"/>
            <w:vAlign w:val="center"/>
          </w:tcPr>
          <w:p w14:paraId="16EFA403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273B480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2BE048D3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56569494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4D32A5" w:rsidRPr="000B0CA8" w14:paraId="26E3F86C" w14:textId="77777777" w:rsidTr="000B0CA8">
        <w:trPr>
          <w:cantSplit/>
        </w:trPr>
        <w:tc>
          <w:tcPr>
            <w:tcW w:w="1140" w:type="pct"/>
            <w:shd w:val="clear" w:color="auto" w:fill="auto"/>
            <w:vAlign w:val="center"/>
          </w:tcPr>
          <w:p w14:paraId="4E0E497C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Truong Bach Duong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525FA42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7, 1979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CFE7224" w14:textId="566FD0CB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786DC9CF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</w:tr>
    </w:tbl>
    <w:p w14:paraId="5D25FBC9" w14:textId="77777777" w:rsidR="000B0CA8" w:rsidRPr="000B0CA8" w:rsidRDefault="00A3091F" w:rsidP="00ED502E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1592A56F" w14:textId="7F4EC5B4" w:rsidR="004D32A5" w:rsidRPr="000B0CA8" w:rsidRDefault="00A3091F" w:rsidP="00ED502E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455736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 2022) and transactions between the </w:t>
      </w:r>
      <w:r w:rsidR="00455736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2100DA25" w14:textId="1B48536F" w:rsidR="004D32A5" w:rsidRPr="000B0CA8" w:rsidRDefault="00A3091F" w:rsidP="00ED502E">
      <w:pPr>
        <w:pStyle w:val="Tiu30"/>
        <w:keepNext/>
        <w:numPr>
          <w:ilvl w:val="0"/>
          <w:numId w:val="7"/>
        </w:numPr>
        <w:tabs>
          <w:tab w:val="left" w:pos="382"/>
        </w:tabs>
        <w:spacing w:after="120" w:line="360" w:lineRule="auto"/>
        <w:jc w:val="both"/>
        <w:outlineLvl w:val="9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455736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</w:t>
      </w:r>
      <w:r w:rsidR="00ED502E">
        <w:rPr>
          <w:rFonts w:ascii="Arial" w:hAnsi="Arial"/>
          <w:color w:val="010000"/>
          <w:sz w:val="20"/>
        </w:rPr>
        <w:t>between the Company and 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455736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2000"/>
        <w:gridCol w:w="996"/>
        <w:gridCol w:w="2508"/>
        <w:gridCol w:w="2349"/>
        <w:gridCol w:w="1093"/>
        <w:gridCol w:w="2316"/>
        <w:gridCol w:w="2333"/>
      </w:tblGrid>
      <w:tr w:rsidR="00436EC0" w:rsidRPr="000B0CA8" w14:paraId="5B71024E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570374A5" w14:textId="5EDD8A2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A9EC4AB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EBAF15" w14:textId="2C3EAA7D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7A8A61A" w14:textId="065DB0A6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BF8F576" w14:textId="0CAFE202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62E56F5" w14:textId="6E18E392" w:rsidR="004D32A5" w:rsidRPr="000B0CA8" w:rsidRDefault="007514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DA6A6E9" w14:textId="1619DC78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Approved General Mandate/Decision No. of the </w:t>
            </w:r>
            <w:r w:rsidR="00455736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and Board Resolutions/Decisions (including promulgation date if any)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D5E084B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value of transaction</w:t>
            </w:r>
          </w:p>
        </w:tc>
      </w:tr>
      <w:tr w:rsidR="00436EC0" w:rsidRPr="000B0CA8" w14:paraId="172255C9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19725B1B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8FA9686" w14:textId="6C28A400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Movitel Company S.A.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6D815A" w14:textId="2A82FCF2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58EEFE7" w14:textId="643DA5E1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404/BKHDT-DTRNN issued by the Ministry of Planning and Investment of Vietnam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1E1D4ADD" w14:textId="5A5A3A9A" w:rsidR="004D32A5" w:rsidRPr="000B0CA8" w:rsidRDefault="004C0B50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Bairro da Sommerchield,  No. 6 Dr.Francisco Barreto Street, Maputo City, Mozambique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4505C2C" w14:textId="200B89D4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9ECE7F0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13/NQ- HDQT- 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08AC7DD" w14:textId="0A05C51F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batteries to Movitel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565,131.70</w:t>
            </w:r>
          </w:p>
        </w:tc>
      </w:tr>
      <w:tr w:rsidR="00436EC0" w:rsidRPr="000B0CA8" w14:paraId="05313578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1B41B419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2C076B4" w14:textId="76AFD13C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Cambodia Pte. Limited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96AD56" w14:textId="5D953568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BB57F35" w14:textId="1E904166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730/BKHDT-DTRNN issued by the Ministry of Planning and Investment of Vietnam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B59C57E" w14:textId="0F6DC83F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42, Street 242, Chaktomuk Ward, Daunpenh District, Phnompenh, Cambodia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44ECC40" w14:textId="0A126191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1115DC4" w14:textId="6649637D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15/NQ- HDQT- 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05482F8" w14:textId="1DF21B2E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Optical Cable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1,304,085.67</w:t>
            </w:r>
          </w:p>
        </w:tc>
      </w:tr>
      <w:tr w:rsidR="00436EC0" w:rsidRPr="000B0CA8" w14:paraId="76B97DB4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4BDCFA1C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3F732" w14:textId="3FC5EA86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Peru Company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FAC7F2" w14:textId="5CE0F6E9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persons according to Point C, Clause 46, Law on Securities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BD57B90" w14:textId="7CE38781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433 issued by the Ministry of Planning and Investment of Vietnam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7F2057A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Lima city, Lima province, Republic of Peru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6A1860C" w14:textId="7FB3776B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891D3CE" w14:textId="6D1E56A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16/NQ-HDQT-VTG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559F283" w14:textId="4474384F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OLT equipment to VTP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5,812,507.00</w:t>
            </w:r>
          </w:p>
        </w:tc>
      </w:tr>
      <w:tr w:rsidR="00436EC0" w:rsidRPr="000B0CA8" w14:paraId="54FCA5DE" w14:textId="77777777" w:rsidTr="000B0CA8">
        <w:trPr>
          <w:cantSplit/>
        </w:trPr>
        <w:tc>
          <w:tcPr>
            <w:tcW w:w="147" w:type="pct"/>
            <w:vMerge w:val="restart"/>
            <w:shd w:val="clear" w:color="auto" w:fill="auto"/>
            <w:vAlign w:val="center"/>
          </w:tcPr>
          <w:p w14:paraId="451854BB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14:paraId="1A5CC6D7" w14:textId="5D2F203F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Cambodia Pte. Limited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7444F201" w14:textId="2279D690" w:rsidR="00A36DB4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36DB4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14:paraId="215C3C38" w14:textId="2A40609F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Foreign Investment Registration Certificate No. 730/BKHDT-DTRNN issued by the Ministry of Planning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and Investment of Vietnam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14:paraId="7A2B0A25" w14:textId="4785520C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 42, Street 242, Chaktomuk Ward, Daunpenh District, Phnompenh, Cambodia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5B09D52B" w14:textId="7D9AAC56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77D70A0B" w14:textId="71ED6B5E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19/NQ-HDQT- 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28FE2CD" w14:textId="7391D3A1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IP equipment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478,028.00</w:t>
            </w:r>
          </w:p>
        </w:tc>
      </w:tr>
      <w:tr w:rsidR="00436EC0" w:rsidRPr="000B0CA8" w14:paraId="1C0A9A30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70EE5656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027319CE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4B1B15B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7FEDA867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5B627F09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6CB073C7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48568EA1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BAAA1B6" w14:textId="493D1600" w:rsidR="00A36DB4" w:rsidRPr="000B0CA8" w:rsidRDefault="00A36DB4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Optical Cable to Viettel Cambodia Company; Value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2,550,078.00</w:t>
            </w:r>
          </w:p>
        </w:tc>
      </w:tr>
      <w:tr w:rsidR="00436EC0" w:rsidRPr="000B0CA8" w14:paraId="783969E5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0E10F02B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3ADA5014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43EDA6B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5A4E1BD4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018E6F82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50587962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6D35966B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BD868CE" w14:textId="5E19640E" w:rsidR="00A36DB4" w:rsidRPr="000B0CA8" w:rsidRDefault="00A36DB4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DWDM equipment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3,408,041</w:t>
            </w:r>
          </w:p>
        </w:tc>
      </w:tr>
      <w:tr w:rsidR="00436EC0" w:rsidRPr="000B0CA8" w14:paraId="469FF8FF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783FF35C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48681558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C07B3CC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2E89895A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6D671F47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2827E1FA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1D14FEFA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986776A" w14:textId="68F6AE19" w:rsidR="00A36DB4" w:rsidRPr="000B0CA8" w:rsidRDefault="00A36DB4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Cisco equipment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3,395,631</w:t>
            </w:r>
          </w:p>
        </w:tc>
      </w:tr>
      <w:tr w:rsidR="00436EC0" w:rsidRPr="000B0CA8" w14:paraId="104931C9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5F4E30F8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55B97FFF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87034AD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13A19EED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3A5AA7EA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42E8903A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6EF1E133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0596374" w14:textId="4344CA61" w:rsidR="00A36DB4" w:rsidRPr="000B0CA8" w:rsidRDefault="00A36DB4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CS Core equipment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3,639,738</w:t>
            </w:r>
          </w:p>
        </w:tc>
      </w:tr>
      <w:tr w:rsidR="00436EC0" w:rsidRPr="000B0CA8" w14:paraId="77516C85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0EF7D6C9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54F7A061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AD08E64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6DF37468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2FC5B112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4E26B99C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3EAB66BF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0917564" w14:textId="52302096" w:rsidR="00A36DB4" w:rsidRPr="000B0CA8" w:rsidRDefault="00A36DB4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Juniper equipment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4,929,862.00</w:t>
            </w:r>
          </w:p>
        </w:tc>
      </w:tr>
      <w:tr w:rsidR="00436EC0" w:rsidRPr="000B0CA8" w14:paraId="3E64BA9E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281107BE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3062DBA7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B916CC5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7506B49E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1D4BFAE6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06E519CF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1E1BBBEB" w14:textId="77777777" w:rsidR="00A36DB4" w:rsidRPr="000B0CA8" w:rsidRDefault="00A36DB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904F62C" w14:textId="276274F0" w:rsidR="00A36DB4" w:rsidRPr="000B0CA8" w:rsidRDefault="00A36DB4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IT equipment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1,500,362</w:t>
            </w:r>
          </w:p>
        </w:tc>
      </w:tr>
      <w:tr w:rsidR="00436EC0" w:rsidRPr="000B0CA8" w14:paraId="7FAE3AC5" w14:textId="77777777" w:rsidTr="000B0CA8">
        <w:trPr>
          <w:cantSplit/>
        </w:trPr>
        <w:tc>
          <w:tcPr>
            <w:tcW w:w="147" w:type="pct"/>
            <w:vMerge w:val="restart"/>
            <w:shd w:val="clear" w:color="auto" w:fill="auto"/>
            <w:vAlign w:val="center"/>
          </w:tcPr>
          <w:p w14:paraId="0657902A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14:paraId="684247B0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51C52020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14:paraId="126E48C4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14:paraId="2BEA3237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5295257F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3ECC57D9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A3433A6" w14:textId="77C2FFCF" w:rsidR="00250B83" w:rsidRPr="000B0CA8" w:rsidRDefault="00250B83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4G Station, BW upgrade license, 2T-4T upgrade license</w:t>
            </w:r>
            <w:r w:rsidR="00ED502E">
              <w:rPr>
                <w:rFonts w:ascii="Arial" w:hAnsi="Arial"/>
                <w:color w:val="010000"/>
                <w:sz w:val="20"/>
              </w:rPr>
              <w:t>, etc.</w:t>
            </w:r>
            <w:r>
              <w:rPr>
                <w:rFonts w:ascii="Arial" w:hAnsi="Arial"/>
                <w:color w:val="010000"/>
                <w:sz w:val="20"/>
              </w:rPr>
              <w:t xml:space="preserve">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19,418,340</w:t>
            </w:r>
          </w:p>
        </w:tc>
      </w:tr>
      <w:tr w:rsidR="00436EC0" w:rsidRPr="000B0CA8" w14:paraId="27B0F986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579CD368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366712BA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B462A29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3DCC3066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5D699A29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374C0052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79B51311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2A965BE" w14:textId="59F26D45" w:rsidR="00250B83" w:rsidRPr="000B0CA8" w:rsidRDefault="00250B83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NodeB conversion license --&gt; eNodeB and some other licenses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383,618 </w:t>
            </w:r>
          </w:p>
        </w:tc>
      </w:tr>
      <w:tr w:rsidR="00436EC0" w:rsidRPr="000B0CA8" w14:paraId="4B511152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1EA44819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1F6E971D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0A7F791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76D1732D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5C3C8F24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1A4C336B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785D5374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F578333" w14:textId="2C93030D" w:rsidR="00250B83" w:rsidRPr="000B0CA8" w:rsidRDefault="00250B83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48V50Ah lithium battery to Viettel Cambodia Company;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909,927.68</w:t>
            </w:r>
          </w:p>
        </w:tc>
      </w:tr>
      <w:tr w:rsidR="00436EC0" w:rsidRPr="000B0CA8" w14:paraId="2FF935B7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6397C22B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5000D951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B9DCF44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0025518D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32B64CA4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16A6EED2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1D24BBD8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54700DF" w14:textId="645E204A" w:rsidR="00250B83" w:rsidRPr="000B0CA8" w:rsidRDefault="00250B83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battery cabinets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293,879.95 </w:t>
            </w:r>
          </w:p>
        </w:tc>
      </w:tr>
      <w:tr w:rsidR="00436EC0" w:rsidRPr="000B0CA8" w14:paraId="031C015E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26E3BBEB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09ACDC9F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79886B8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41751B35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44A19C57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06F79884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63A2AA70" w14:textId="77777777" w:rsidR="00250B83" w:rsidRPr="000B0CA8" w:rsidRDefault="00250B8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2716426" w14:textId="2DD0A60F" w:rsidR="00693007" w:rsidRPr="000B0CA8" w:rsidRDefault="00250B83" w:rsidP="00BF09F4">
            <w:pPr>
              <w:pStyle w:val="Vnbnnidung20"/>
              <w:tabs>
                <w:tab w:val="left" w:pos="360"/>
              </w:tabs>
              <w:spacing w:after="120" w:line="360" w:lineRule="auto"/>
              <w:jc w:val="left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IPS cabinet with rectifier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792,778.41</w:t>
            </w:r>
          </w:p>
        </w:tc>
      </w:tr>
      <w:tr w:rsidR="000B0CA8" w:rsidRPr="000B0CA8" w14:paraId="24FE49BA" w14:textId="77777777" w:rsidTr="000B0CA8">
        <w:trPr>
          <w:cantSplit/>
        </w:trPr>
        <w:tc>
          <w:tcPr>
            <w:tcW w:w="147" w:type="pct"/>
            <w:vMerge w:val="restart"/>
            <w:shd w:val="clear" w:color="auto" w:fill="auto"/>
            <w:vAlign w:val="center"/>
          </w:tcPr>
          <w:p w14:paraId="100C8D18" w14:textId="204F0814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14:paraId="4C8D874B" w14:textId="08D6D3C5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Cambodia Pte. Limited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6C8C1D36" w14:textId="3BA1EA20" w:rsidR="000B0CA8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0B0CA8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14:paraId="5649A012" w14:textId="5846D830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730/BKHDT-  DTRNN issued by the Ministry of Planning and Investment of Vietnam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14:paraId="618EAB54" w14:textId="73ECFB31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42, Street 242, Chaktomuk Ward, Daunpenh District, Phnompenh, Cambodia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394F98B9" w14:textId="5BEF77E9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3DA2B791" w14:textId="537CC162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32/NQ-HDQT-VTG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668FEA8" w14:textId="08E707DD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dualband 4G site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2,002,200</w:t>
            </w:r>
          </w:p>
        </w:tc>
      </w:tr>
      <w:tr w:rsidR="000B0CA8" w:rsidRPr="000B0CA8" w14:paraId="073CC849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0869210E" w14:textId="77777777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4425D374" w14:textId="77777777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A2DD9E9" w14:textId="77777777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4C0DB881" w14:textId="77777777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456C0641" w14:textId="77777777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5C38B9D6" w14:textId="77777777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073E38DD" w14:textId="77777777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CF32770" w14:textId="0D8CE037" w:rsidR="000B0CA8" w:rsidRPr="000B0CA8" w:rsidRDefault="000B0CA8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10 port Antenna and 10 port twinbeam Antenna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849,900</w:t>
            </w:r>
          </w:p>
        </w:tc>
      </w:tr>
      <w:tr w:rsidR="00436EC0" w:rsidRPr="000B0CA8" w14:paraId="6EC4FA9F" w14:textId="77777777" w:rsidTr="000B0CA8">
        <w:trPr>
          <w:cantSplit/>
        </w:trPr>
        <w:tc>
          <w:tcPr>
            <w:tcW w:w="147" w:type="pct"/>
            <w:vMerge w:val="restart"/>
            <w:shd w:val="clear" w:color="auto" w:fill="auto"/>
            <w:vAlign w:val="center"/>
          </w:tcPr>
          <w:p w14:paraId="41DC4EC5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14:paraId="4E55C90B" w14:textId="07A0951C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Star Telecom Company Limited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4C0E8715" w14:textId="7F39254C" w:rsidR="00936273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936273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14:paraId="64611388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103/BKH- DTRNN issued by the Ministry of Planning and Investment in Hanoi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14:paraId="7B373F9D" w14:textId="13A1C37F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Nongbone Street, Phonesay Ward, Saysettha District, Vientiane City, Lao PDR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6C3A18A0" w14:textId="732BD0D1" w:rsidR="00936273" w:rsidRPr="000B0CA8" w:rsidRDefault="00F40947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1593C0CE" w14:textId="244C1E1C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33/NQ-HDQT-VTG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7ADB9FD" w14:textId="52BDE433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8-port 4G Antenna, 4-port 4G Antenna, 8-port twinbeam Antenna to Star Telecom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546,800</w:t>
            </w:r>
          </w:p>
        </w:tc>
      </w:tr>
      <w:tr w:rsidR="00436EC0" w:rsidRPr="000B0CA8" w14:paraId="74F74682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7826415B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6EA643DB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B8615E0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6202332D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0972287B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7B87B612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2060C401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B4C30C2" w14:textId="1F6CA5B9" w:rsidR="00F40947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station 850, station 2300, 10Mhz cell license, baseband upgrade license, services</w:t>
            </w:r>
            <w:r w:rsidR="00ED502E">
              <w:rPr>
                <w:rFonts w:ascii="Arial" w:hAnsi="Arial"/>
                <w:color w:val="010000"/>
                <w:sz w:val="20"/>
              </w:rPr>
              <w:t>, etc.</w:t>
            </w:r>
            <w:r>
              <w:rPr>
                <w:rFonts w:ascii="Arial" w:hAnsi="Arial"/>
                <w:color w:val="010000"/>
                <w:sz w:val="20"/>
              </w:rPr>
              <w:t xml:space="preserve"> to Star Telecom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1,180,000</w:t>
            </w:r>
          </w:p>
        </w:tc>
      </w:tr>
      <w:tr w:rsidR="00436EC0" w:rsidRPr="000B0CA8" w14:paraId="60496092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27B73216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3A094F28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22E9138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1F85C319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699A60EF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62859C45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3AC8EF0A" w14:textId="77777777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98722A8" w14:textId="50D59D5F" w:rsidR="00936273" w:rsidRPr="000B0CA8" w:rsidRDefault="00936273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jumper fiber equipment to Star Telecom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36,000</w:t>
            </w:r>
          </w:p>
        </w:tc>
      </w:tr>
      <w:tr w:rsidR="00436EC0" w:rsidRPr="000B0CA8" w14:paraId="3FA88F08" w14:textId="77777777" w:rsidTr="000B0CA8">
        <w:trPr>
          <w:cantSplit/>
        </w:trPr>
        <w:tc>
          <w:tcPr>
            <w:tcW w:w="147" w:type="pct"/>
            <w:vMerge/>
            <w:shd w:val="clear" w:color="auto" w:fill="auto"/>
            <w:vAlign w:val="center"/>
          </w:tcPr>
          <w:p w14:paraId="440B1EA0" w14:textId="77777777" w:rsidR="007E3C15" w:rsidRPr="000B0CA8" w:rsidRDefault="007E3C15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79A2AC53" w14:textId="77777777" w:rsidR="007E3C15" w:rsidRPr="000B0CA8" w:rsidRDefault="007E3C15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0B9E1F0" w14:textId="77777777" w:rsidR="007E3C15" w:rsidRPr="000B0CA8" w:rsidRDefault="007E3C15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261DA2B5" w14:textId="77777777" w:rsidR="007E3C15" w:rsidRPr="000B0CA8" w:rsidRDefault="007E3C15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14:paraId="59F7D098" w14:textId="77777777" w:rsidR="007E3C15" w:rsidRPr="000B0CA8" w:rsidRDefault="007E3C15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130A4511" w14:textId="77777777" w:rsidR="007E3C15" w:rsidRPr="000B0CA8" w:rsidRDefault="007E3C15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0C085B98" w14:textId="77777777" w:rsidR="007E3C15" w:rsidRPr="000B0CA8" w:rsidRDefault="007E3C15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7AE9576" w14:textId="12246EFC" w:rsidR="007E3C15" w:rsidRPr="000B0CA8" w:rsidRDefault="007E3C15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2G station 900,</w:t>
            </w:r>
            <w:r w:rsidR="00ED502E">
              <w:rPr>
                <w:rFonts w:ascii="Arial" w:hAnsi="Arial"/>
                <w:color w:val="010000"/>
                <w:sz w:val="20"/>
              </w:rPr>
              <w:t xml:space="preserve"> 4G station, 10Mhz license cell and</w:t>
            </w:r>
            <w:r>
              <w:rPr>
                <w:rFonts w:ascii="Arial" w:hAnsi="Arial"/>
                <w:color w:val="010000"/>
                <w:sz w:val="20"/>
              </w:rPr>
              <w:t xml:space="preserve"> mixmode license to Star Telecom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1,026,000</w:t>
            </w:r>
          </w:p>
        </w:tc>
      </w:tr>
      <w:tr w:rsidR="00436EC0" w:rsidRPr="000B0CA8" w14:paraId="47AB38A2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2EC93486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7B2E0D2" w14:textId="75A56EA0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Burundi S.A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679C79" w14:textId="417E7A96" w:rsidR="00C3477A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C3477A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7E33B62" w14:textId="55869858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690/BKHDT- DTRNN issued by the Ministry of Planning and Investment of Vietnam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369F3A5" w14:textId="3CE25F1F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24, Avenue de L/Oua, Quartier Industriel, Ngagara, Bujimbura-Marie, Republic of Burundi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0289199" w14:textId="604128C8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D2737AE" w14:textId="119660AB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37/NQ-HDQT-VTG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1279C7C" w14:textId="26B39EAA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Contract to provide project management services for Viettel Burundi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1,799,666</w:t>
            </w:r>
          </w:p>
        </w:tc>
      </w:tr>
      <w:tr w:rsidR="00436EC0" w:rsidRPr="000B0CA8" w14:paraId="3CFE3322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0EA874CC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8249496" w14:textId="2E5CA3CF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Logistics Company Limited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60E9B4" w14:textId="0562981A" w:rsidR="00C3477A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C3477A">
              <w:rPr>
                <w:rFonts w:ascii="Arial" w:hAnsi="Arial"/>
                <w:color w:val="010000"/>
                <w:sz w:val="20"/>
              </w:rPr>
              <w:t xml:space="preserve"> persons according to Point C, Clause 46, Law on Securities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3F26A4C" w14:textId="236399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0310783329 issued by Ho Chi Minh Department of Planning and Investment for the first time on April 18, 2011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5E4992A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306 Ly Thuong Kiet, Ward 6, Tan Binh, Ho Chi Minh City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F06670A" w14:textId="08A83819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DEDFB07" w14:textId="0BEB6A2B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40/NQ- HDQT-VTG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70A9B8D" w14:textId="536CB7B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 to provide transportation services; Value: VND 5,767,071,000</w:t>
            </w:r>
          </w:p>
        </w:tc>
      </w:tr>
      <w:tr w:rsidR="00436EC0" w:rsidRPr="000B0CA8" w14:paraId="4D0E108D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7EFC810E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AF94FF2" w14:textId="0DF7FD28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Movitel Company S.A.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CA6B9" w14:textId="52A82812" w:rsidR="00C3477A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C3477A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BA3E4BF" w14:textId="79080385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404/BKHĐT- DTRNN issued by the Ministry of Planning and Investment in Hanoi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1606D42" w14:textId="601D4CC3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Bairro da Sommerchield, No. 6 Dr.Francisco Barreto Street, Maputo City, Mozambique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A6C2472" w14:textId="1565859C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4325138" w14:textId="3CE61A52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41/NQ- HDQT- 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962C436" w14:textId="0662D30A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Juniper equipment to Movitel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4,650,637</w:t>
            </w:r>
          </w:p>
        </w:tc>
      </w:tr>
      <w:tr w:rsidR="00436EC0" w:rsidRPr="000B0CA8" w14:paraId="34157919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5424EF3E" w14:textId="7A4AFC9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1C83E44" w14:textId="3E6C5F58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National Telecom S.A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A09A36C" w14:textId="2329B2A0" w:rsidR="00C3477A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C3477A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ECF5594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377/BKH- DTRNN/DC2 dated January 19, 2022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312E575" w14:textId="5D77BB8F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Corner of Fernand and Ave Martin Luther King Street (Pont Morin), Port Au Prince, Haiti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07F3E2A" w14:textId="57EDB0F9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C80B631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42/NQ- HDQT- 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A889053" w14:textId="6E9AD354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IT Equipment to Natcom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846,064.69</w:t>
            </w:r>
          </w:p>
        </w:tc>
      </w:tr>
      <w:tr w:rsidR="00436EC0" w:rsidRPr="000B0CA8" w14:paraId="1E2E937D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6D3D654D" w14:textId="448E51DA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BC3118" w14:textId="622C7999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Cambodia Pte. Limited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B45823" w14:textId="1FCC2CC3" w:rsidR="00C3477A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C3477A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2A5F847" w14:textId="7AD49989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730/BKHDT- DTRNN issued by the Ministry of Planning and Investment of Vietnam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4329328" w14:textId="2D4A8C5A" w:rsidR="00C3477A" w:rsidRPr="000B0CA8" w:rsidRDefault="0017621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42, Street 242, Chaktomuk Ward, Daunpenh District, Phnompenh, Cambodia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0CEFCC2" w14:textId="59DFF351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FC340F2" w14:textId="7F864E14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43/NQ- HDQT- 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A4D2FC7" w14:textId="4F11EFFE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Generators to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2,152,461.68</w:t>
            </w:r>
          </w:p>
        </w:tc>
      </w:tr>
      <w:tr w:rsidR="00436EC0" w:rsidRPr="000B0CA8" w14:paraId="668D2D46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64CAC742" w14:textId="767082D0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3AF4AD3" w14:textId="33629B81" w:rsidR="00C3477A" w:rsidRPr="000B0CA8" w:rsidRDefault="00176219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Solutions - Branch of Viettel Group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87A48A" w14:textId="39A4E2EB" w:rsidR="00C3477A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C3477A">
              <w:rPr>
                <w:rFonts w:ascii="Arial" w:hAnsi="Arial"/>
                <w:color w:val="010000"/>
                <w:sz w:val="20"/>
              </w:rPr>
              <w:t xml:space="preserve"> persons according to Point C, Clause 46, Law on Securities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F623595" w14:textId="64B08671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0100109106-476 issued by Department of Planning and Investment of Hanoi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0820AA6" w14:textId="387BB7F8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1 - Tran Huu Duc Street, My Dinh 2 Ward, Nam Tu Liem District, Hanoi City, Vietnam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5146198" w14:textId="36116200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9F0F476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62/NQ- HDQT- 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9DBF685" w14:textId="20BE780F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Contract to build information management software for the Corporation; Value: VND 1,500,000,000</w:t>
            </w:r>
          </w:p>
        </w:tc>
      </w:tr>
      <w:tr w:rsidR="00436EC0" w:rsidRPr="000B0CA8" w14:paraId="6EEE5587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3BCC55E5" w14:textId="3BCF880B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307C25" w14:textId="154C598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Cambodia Pte. Limited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1BD262" w14:textId="385DD3EE" w:rsidR="00C3477A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C3477A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7FA9760" w14:textId="26CB12B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730/BKHDT-DTRNN issued by the Ministry of Planning and Investment of Vietnam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38DF0D4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42, Street 242, Chaktomuk Ward, Daunpenh District, Phnompenh, Cambodia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BAF994D" w14:textId="7B15913A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A9910F0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76/NQ- HDQT- 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53FE2D8" w14:textId="2D5B4426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equipment to ViettelCambodia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24,083,000</w:t>
            </w:r>
          </w:p>
        </w:tc>
      </w:tr>
      <w:tr w:rsidR="00436EC0" w:rsidRPr="000B0CA8" w14:paraId="470E1D76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5B7C4946" w14:textId="16E32E3F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9BB952" w14:textId="3E18798D" w:rsidR="00C3477A" w:rsidRPr="000B0CA8" w:rsidRDefault="00D908DB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Cambodia Pte. Limited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216020" w14:textId="20C81168" w:rsidR="00C3477A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C3477A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1715D3B" w14:textId="1913400F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730/BKHDT- DTRNN issued by the Ministry of Planning and Investment of Vietnam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5125D59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42, Street 242, Chaktomuk Ward, Daunpenh District, Phnompenh, Cambodia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7AA920A" w14:textId="2539E3A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5B160B3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78/NQ- HDQT- 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8A5ADED" w14:textId="6BBC6A79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Contract to provide project management services for Viettel Cambodia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6,120,000</w:t>
            </w:r>
          </w:p>
        </w:tc>
      </w:tr>
      <w:tr w:rsidR="00436EC0" w:rsidRPr="000B0CA8" w14:paraId="4F3F2DD5" w14:textId="77777777" w:rsidTr="000B0CA8">
        <w:trPr>
          <w:cantSplit/>
        </w:trPr>
        <w:tc>
          <w:tcPr>
            <w:tcW w:w="147" w:type="pct"/>
            <w:shd w:val="clear" w:color="auto" w:fill="auto"/>
            <w:vAlign w:val="center"/>
          </w:tcPr>
          <w:p w14:paraId="56183C7C" w14:textId="71403B74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D54958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Viettel Tanzania Company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BAF2D" w14:textId="4CFA2F6B" w:rsidR="00C3477A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C3477A"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52C3514" w14:textId="77777777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Foreign Investment Registration Certificate No. 689/BKHDT- DTRNN issued by the Ministry of Planning and Investment of Vietnam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6837F21" w14:textId="0D9F5079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Plot No. 145, Regent Estate, Migombani Street, Mikocheni, Post box 110230, Dares Salaam, United Republic of Tanzania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49819FB" w14:textId="6A538266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A29A486" w14:textId="11263AF0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79/NQ- HDQT-VTG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A998990" w14:textId="590A6863" w:rsidR="00C3477A" w:rsidRPr="000B0CA8" w:rsidRDefault="00C3477A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Contract to provide project management services for Viettel Tanzania Company; Value: </w:t>
            </w:r>
            <w:r w:rsidR="00ED502E">
              <w:rPr>
                <w:rFonts w:ascii="Arial" w:hAnsi="Arial"/>
                <w:color w:val="010000"/>
                <w:sz w:val="20"/>
              </w:rPr>
              <w:t>US$</w:t>
            </w:r>
            <w:r>
              <w:rPr>
                <w:rFonts w:ascii="Arial" w:hAnsi="Arial"/>
                <w:color w:val="010000"/>
                <w:sz w:val="20"/>
              </w:rPr>
              <w:t xml:space="preserve"> 1,137,885</w:t>
            </w:r>
          </w:p>
        </w:tc>
      </w:tr>
    </w:tbl>
    <w:p w14:paraId="77C6BCA0" w14:textId="77819430" w:rsidR="00436EC0" w:rsidRDefault="00A3091F" w:rsidP="00ED502E">
      <w:pPr>
        <w:pStyle w:val="Vnbnnidung0"/>
        <w:numPr>
          <w:ilvl w:val="0"/>
          <w:numId w:val="7"/>
        </w:numPr>
        <w:tabs>
          <w:tab w:val="left" w:pos="360"/>
          <w:tab w:val="left" w:pos="78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lastRenderedPageBreak/>
        <w:t xml:space="preserve">Transactions between PDMR of the Company, </w:t>
      </w:r>
      <w:r w:rsidR="00455736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 (indirect transaction): None.</w:t>
      </w:r>
    </w:p>
    <w:p w14:paraId="6D45F9C3" w14:textId="77777777" w:rsidR="00436EC0" w:rsidRDefault="00A3091F" w:rsidP="00ED502E">
      <w:pPr>
        <w:pStyle w:val="Vnbnnidung0"/>
        <w:numPr>
          <w:ilvl w:val="0"/>
          <w:numId w:val="7"/>
        </w:numPr>
        <w:tabs>
          <w:tab w:val="left" w:pos="360"/>
          <w:tab w:val="left" w:pos="78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Transactions between the Company and other entities/</w:t>
      </w:r>
    </w:p>
    <w:p w14:paraId="7EFE58C5" w14:textId="325C50AD" w:rsidR="00436EC0" w:rsidRDefault="00A3091F" w:rsidP="00ED502E">
      <w:pPr>
        <w:pStyle w:val="Vnbnnidung0"/>
        <w:numPr>
          <w:ilvl w:val="1"/>
          <w:numId w:val="7"/>
        </w:numPr>
        <w:tabs>
          <w:tab w:val="left" w:pos="360"/>
          <w:tab w:val="left" w:pos="78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membe</w:t>
      </w:r>
      <w:r w:rsidR="00ED502E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(the </w:t>
      </w:r>
      <w:r w:rsidR="0045573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</w:t>
      </w:r>
      <w:r w:rsidR="00ED502E">
        <w:rPr>
          <w:rFonts w:ascii="Arial" w:hAnsi="Arial"/>
          <w:color w:val="010000"/>
          <w:sz w:val="20"/>
        </w:rPr>
        <w:t>rs of the Board of Directors or</w:t>
      </w:r>
      <w:r>
        <w:rPr>
          <w:rFonts w:ascii="Arial" w:hAnsi="Arial"/>
          <w:color w:val="010000"/>
          <w:sz w:val="20"/>
        </w:rPr>
        <w:t xml:space="preserve"> Executi</w:t>
      </w:r>
      <w:r w:rsidR="00ED502E">
        <w:rPr>
          <w:rFonts w:ascii="Arial" w:hAnsi="Arial"/>
          <w:color w:val="010000"/>
          <w:sz w:val="20"/>
        </w:rPr>
        <w:t>ve Manager (</w:t>
      </w:r>
      <w:r w:rsidR="0045573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for the past three (03) years (calculated at the time of reporting). None</w:t>
      </w:r>
    </w:p>
    <w:p w14:paraId="7F051DEE" w14:textId="15DF7117" w:rsidR="00436EC0" w:rsidRDefault="00A3091F" w:rsidP="00ED502E">
      <w:pPr>
        <w:pStyle w:val="Vnbnnidung0"/>
        <w:numPr>
          <w:ilvl w:val="1"/>
          <w:numId w:val="7"/>
        </w:numPr>
        <w:tabs>
          <w:tab w:val="left" w:pos="360"/>
          <w:tab w:val="left" w:pos="78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executed by the </w:t>
      </w:r>
      <w:r w:rsidR="00455736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people of members of the Board of Directors, members of the Supervisory Boa</w:t>
      </w:r>
      <w:r w:rsidR="00ED502E">
        <w:rPr>
          <w:rFonts w:ascii="Arial" w:hAnsi="Arial"/>
          <w:color w:val="010000"/>
          <w:sz w:val="20"/>
        </w:rPr>
        <w:t>rd, Executive Manager (</w:t>
      </w:r>
      <w:r w:rsidR="0045573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who are member</w:t>
      </w:r>
      <w:r w:rsidR="00ED502E">
        <w:rPr>
          <w:rFonts w:ascii="Arial" w:hAnsi="Arial"/>
          <w:color w:val="010000"/>
          <w:sz w:val="20"/>
        </w:rPr>
        <w:t>s of the Board of Directors and Executive Manager (</w:t>
      </w:r>
      <w:r w:rsidR="0045573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). None</w:t>
      </w:r>
    </w:p>
    <w:p w14:paraId="195A3DF3" w14:textId="32C73941" w:rsidR="004D32A5" w:rsidRPr="00436EC0" w:rsidRDefault="00A3091F" w:rsidP="00ED502E">
      <w:pPr>
        <w:pStyle w:val="Vnbnnidung0"/>
        <w:numPr>
          <w:ilvl w:val="1"/>
          <w:numId w:val="7"/>
        </w:numPr>
        <w:tabs>
          <w:tab w:val="left" w:pos="360"/>
          <w:tab w:val="left" w:pos="78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ED502E">
        <w:rPr>
          <w:rFonts w:ascii="Arial" w:hAnsi="Arial"/>
          <w:color w:val="010000"/>
          <w:sz w:val="20"/>
        </w:rPr>
        <w:t>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45573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None.</w:t>
      </w:r>
    </w:p>
    <w:p w14:paraId="51E71820" w14:textId="39F60D05" w:rsidR="004D32A5" w:rsidRPr="000B0CA8" w:rsidRDefault="00A3091F" w:rsidP="00ED502E">
      <w:pPr>
        <w:pStyle w:val="Tiu20"/>
        <w:keepNext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Share transactions between PDMR and </w:t>
      </w:r>
      <w:r w:rsidR="00455736">
        <w:rPr>
          <w:rFonts w:ascii="Arial" w:hAnsi="Arial"/>
          <w:b w:val="0"/>
          <w:color w:val="010000"/>
          <w:sz w:val="20"/>
        </w:rPr>
        <w:t>related</w:t>
      </w:r>
      <w:r>
        <w:rPr>
          <w:rFonts w:ascii="Arial" w:hAnsi="Arial"/>
          <w:b w:val="0"/>
          <w:color w:val="010000"/>
          <w:sz w:val="20"/>
        </w:rPr>
        <w:t xml:space="preserve"> persons of PDMR (Annual Report 2023):</w:t>
      </w:r>
    </w:p>
    <w:p w14:paraId="65FB0430" w14:textId="5098A893" w:rsidR="004D32A5" w:rsidRPr="000B0CA8" w:rsidRDefault="00A3091F" w:rsidP="00ED502E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6"/>
        </w:rPr>
      </w:pPr>
      <w:r>
        <w:rPr>
          <w:rFonts w:ascii="Arial" w:hAnsi="Arial"/>
          <w:color w:val="010000"/>
          <w:sz w:val="20"/>
        </w:rPr>
        <w:t xml:space="preserve">Company’s share transaction between PDMR and </w:t>
      </w:r>
      <w:r w:rsidR="00455736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263"/>
        <w:gridCol w:w="1654"/>
        <w:gridCol w:w="1640"/>
        <w:gridCol w:w="2081"/>
        <w:gridCol w:w="1654"/>
        <w:gridCol w:w="1671"/>
        <w:gridCol w:w="2182"/>
      </w:tblGrid>
      <w:tr w:rsidR="005E0D15" w:rsidRPr="000B0CA8" w14:paraId="2DDD5C15" w14:textId="77777777" w:rsidTr="000B0CA8">
        <w:trPr>
          <w:cantSplit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C9959" w14:textId="35A6B668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3EB75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CD891" w14:textId="2E40FBDD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D368C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28D12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E12D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etc.)</w:t>
            </w:r>
          </w:p>
        </w:tc>
      </w:tr>
      <w:tr w:rsidR="005E0D15" w:rsidRPr="000B0CA8" w14:paraId="0C1952BF" w14:textId="77777777" w:rsidTr="000B0CA8">
        <w:trPr>
          <w:cantSplit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25837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EED80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A3831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A90D5" w14:textId="4C619FFD" w:rsidR="004D32A5" w:rsidRPr="000B0CA8" w:rsidRDefault="00696304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Number of offered shares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31DD5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  <w:bookmarkStart w:id="0" w:name="_GoBack"/>
            <w:bookmarkEnd w:id="0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C6825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Number of offered shares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41F5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4CE2" w14:textId="77777777" w:rsidR="004D32A5" w:rsidRPr="000B0CA8" w:rsidRDefault="004D32A5" w:rsidP="00BF09F4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5E0D15" w:rsidRPr="000B0CA8" w14:paraId="46F6DDF1" w14:textId="77777777" w:rsidTr="000B0CA8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8184B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8C3D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Tong Khanh</w:t>
            </w:r>
          </w:p>
          <w:p w14:paraId="231E2411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Linh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D789D" w14:textId="775C6915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0A069" w14:textId="3A7A9D15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10,000 shares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68A3A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0.0003%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6EB97" w14:textId="693F90DB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10,000 shares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8B31C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0.0003%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F5F1" w14:textId="66D25022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Unsuccessful sale </w:t>
            </w:r>
            <w:r w:rsidR="00ED502E">
              <w:rPr>
                <w:rFonts w:ascii="Arial" w:hAnsi="Arial"/>
                <w:color w:val="010000"/>
                <w:sz w:val="20"/>
              </w:rPr>
              <w:t>as market price falls short of expectations</w:t>
            </w:r>
          </w:p>
        </w:tc>
      </w:tr>
      <w:tr w:rsidR="005E0D15" w:rsidRPr="000B0CA8" w14:paraId="7B05A13A" w14:textId="77777777" w:rsidTr="000B0CA8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D33A8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363FD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Nguyen Thi Thanh Dung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C5B15" w14:textId="1AF81D72" w:rsidR="004D32A5" w:rsidRPr="000B0CA8" w:rsidRDefault="00455736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 w:rsidR="00A3091F">
              <w:rPr>
                <w:rFonts w:ascii="Arial" w:hAnsi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9937D" w14:textId="11AF6BB4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75,000 shares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BF7C2" w14:textId="7777777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0.00246%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809AF" w14:textId="74D1944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75,000 shares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884CF" w14:textId="2073E297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>0.00246%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CDDF" w14:textId="4AEF60E3" w:rsidR="004D32A5" w:rsidRPr="000B0CA8" w:rsidRDefault="00A3091F" w:rsidP="00BF09F4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4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Unsuccessful sale </w:t>
            </w:r>
            <w:r w:rsidR="00ED502E">
              <w:rPr>
                <w:rFonts w:ascii="Arial" w:hAnsi="Arial"/>
                <w:color w:val="010000"/>
                <w:sz w:val="20"/>
              </w:rPr>
              <w:t>as market price falls short of expectations</w:t>
            </w:r>
          </w:p>
        </w:tc>
      </w:tr>
    </w:tbl>
    <w:p w14:paraId="503C21E8" w14:textId="0C98C328" w:rsidR="004D32A5" w:rsidRPr="000B0CA8" w:rsidRDefault="00A3091F" w:rsidP="00BF09F4">
      <w:pPr>
        <w:pStyle w:val="Chthchbng0"/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  <w:szCs w:val="26"/>
        </w:rPr>
      </w:pPr>
      <w:r>
        <w:rPr>
          <w:rFonts w:ascii="Arial" w:hAnsi="Arial"/>
          <w:color w:val="010000"/>
          <w:sz w:val="20"/>
        </w:rPr>
        <w:t>IX. Other significant issues: None</w:t>
      </w:r>
    </w:p>
    <w:sectPr w:rsidR="004D32A5" w:rsidRPr="000B0CA8" w:rsidSect="00C07C2E">
      <w:pgSz w:w="16839" w:h="11907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D8EF" w14:textId="77777777" w:rsidR="005F58A9" w:rsidRDefault="005F58A9">
      <w:r>
        <w:separator/>
      </w:r>
    </w:p>
  </w:endnote>
  <w:endnote w:type="continuationSeparator" w:id="0">
    <w:p w14:paraId="4F76D1EB" w14:textId="77777777" w:rsidR="005F58A9" w:rsidRDefault="005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44FC" w14:textId="77777777" w:rsidR="005F58A9" w:rsidRDefault="005F58A9"/>
  </w:footnote>
  <w:footnote w:type="continuationSeparator" w:id="0">
    <w:p w14:paraId="649656CC" w14:textId="77777777" w:rsidR="005F58A9" w:rsidRDefault="005F58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2DF"/>
    <w:multiLevelType w:val="hybridMultilevel"/>
    <w:tmpl w:val="71821428"/>
    <w:lvl w:ilvl="0" w:tplc="7940E706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243"/>
    <w:multiLevelType w:val="hybridMultilevel"/>
    <w:tmpl w:val="837243A4"/>
    <w:lvl w:ilvl="0" w:tplc="C4522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94BC7F28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5820234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9E2"/>
    <w:multiLevelType w:val="hybridMultilevel"/>
    <w:tmpl w:val="9478310A"/>
    <w:lvl w:ilvl="0" w:tplc="7940E706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66B1"/>
    <w:multiLevelType w:val="multilevel"/>
    <w:tmpl w:val="FD88172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D8048D"/>
    <w:multiLevelType w:val="multilevel"/>
    <w:tmpl w:val="9A5AD9B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D4954"/>
    <w:multiLevelType w:val="multilevel"/>
    <w:tmpl w:val="6334584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AF5C13"/>
    <w:multiLevelType w:val="multilevel"/>
    <w:tmpl w:val="D6ECA72E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E66EF"/>
    <w:multiLevelType w:val="multilevel"/>
    <w:tmpl w:val="72B2B39E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20202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AF6AA3"/>
    <w:multiLevelType w:val="multilevel"/>
    <w:tmpl w:val="D774FA12"/>
    <w:lvl w:ilvl="0">
      <w:start w:val="1"/>
      <w:numFmt w:val="bullet"/>
      <w:lvlText w:val="•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D876B2"/>
    <w:multiLevelType w:val="hybridMultilevel"/>
    <w:tmpl w:val="4FAE4288"/>
    <w:lvl w:ilvl="0" w:tplc="E570B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E6115"/>
    <w:multiLevelType w:val="multilevel"/>
    <w:tmpl w:val="28B29F5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A5"/>
    <w:rsid w:val="00052A5E"/>
    <w:rsid w:val="00070699"/>
    <w:rsid w:val="000B0CA8"/>
    <w:rsid w:val="001378CA"/>
    <w:rsid w:val="00176219"/>
    <w:rsid w:val="00181309"/>
    <w:rsid w:val="00185796"/>
    <w:rsid w:val="001D1A1D"/>
    <w:rsid w:val="00250B83"/>
    <w:rsid w:val="00281199"/>
    <w:rsid w:val="002862D9"/>
    <w:rsid w:val="002B4AFA"/>
    <w:rsid w:val="002D5FBF"/>
    <w:rsid w:val="00320723"/>
    <w:rsid w:val="00380B5C"/>
    <w:rsid w:val="003E28B6"/>
    <w:rsid w:val="0042379F"/>
    <w:rsid w:val="00432DC9"/>
    <w:rsid w:val="00436EC0"/>
    <w:rsid w:val="00455736"/>
    <w:rsid w:val="004C0B50"/>
    <w:rsid w:val="004D32A5"/>
    <w:rsid w:val="0059341B"/>
    <w:rsid w:val="005B5469"/>
    <w:rsid w:val="005C0622"/>
    <w:rsid w:val="005E0D15"/>
    <w:rsid w:val="005F58A9"/>
    <w:rsid w:val="005F7EC8"/>
    <w:rsid w:val="0062207E"/>
    <w:rsid w:val="00622AA0"/>
    <w:rsid w:val="00693007"/>
    <w:rsid w:val="00696304"/>
    <w:rsid w:val="006A659F"/>
    <w:rsid w:val="0075141F"/>
    <w:rsid w:val="0079368D"/>
    <w:rsid w:val="007A2084"/>
    <w:rsid w:val="007C0B03"/>
    <w:rsid w:val="007E24E8"/>
    <w:rsid w:val="007E3C15"/>
    <w:rsid w:val="00857AE6"/>
    <w:rsid w:val="00875965"/>
    <w:rsid w:val="008B4D7F"/>
    <w:rsid w:val="00936273"/>
    <w:rsid w:val="009B7104"/>
    <w:rsid w:val="009E08CD"/>
    <w:rsid w:val="00A1028E"/>
    <w:rsid w:val="00A25131"/>
    <w:rsid w:val="00A27D10"/>
    <w:rsid w:val="00A3091F"/>
    <w:rsid w:val="00A36DB4"/>
    <w:rsid w:val="00B2646A"/>
    <w:rsid w:val="00B45452"/>
    <w:rsid w:val="00B746FC"/>
    <w:rsid w:val="00B752BA"/>
    <w:rsid w:val="00BA354F"/>
    <w:rsid w:val="00BA4DD2"/>
    <w:rsid w:val="00BA6D19"/>
    <w:rsid w:val="00BB64F2"/>
    <w:rsid w:val="00BF09F4"/>
    <w:rsid w:val="00C07C2E"/>
    <w:rsid w:val="00C32D49"/>
    <w:rsid w:val="00C3477A"/>
    <w:rsid w:val="00D908DB"/>
    <w:rsid w:val="00E12B11"/>
    <w:rsid w:val="00ED502E"/>
    <w:rsid w:val="00F40947"/>
    <w:rsid w:val="00F56DD3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729E5"/>
  <w15:docId w15:val="{72E3398E-03B4-4CFB-8B9D-FA0276C5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F05F62"/>
      <w:sz w:val="16"/>
      <w:szCs w:val="1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F05F62"/>
      <w:sz w:val="22"/>
      <w:szCs w:val="22"/>
      <w:u w:val="none"/>
      <w:shd w:val="clear" w:color="auto" w:fill="auto"/>
    </w:rPr>
  </w:style>
  <w:style w:type="character" w:customStyle="1" w:styleId="Stiu1">
    <w:name w:val="Số tiêu đề #1_"/>
    <w:basedOn w:val="DefaultParagraphFont"/>
    <w:link w:val="S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30" w:lineRule="auto"/>
    </w:pPr>
    <w:rPr>
      <w:rFonts w:ascii="Arial" w:eastAsia="Arial" w:hAnsi="Arial" w:cs="Arial"/>
      <w:sz w:val="9"/>
      <w:szCs w:val="9"/>
    </w:rPr>
  </w:style>
  <w:style w:type="paragraph" w:customStyle="1" w:styleId="Vnbnnidung40">
    <w:name w:val="Văn bản nội dung (4)"/>
    <w:basedOn w:val="Normal"/>
    <w:link w:val="Vnbnnidung4"/>
    <w:pPr>
      <w:spacing w:line="269" w:lineRule="auto"/>
      <w:ind w:left="1820" w:firstLine="10"/>
    </w:pPr>
    <w:rPr>
      <w:rFonts w:ascii="Arial" w:eastAsia="Arial" w:hAnsi="Arial" w:cs="Arial"/>
      <w:color w:val="F05F62"/>
      <w:sz w:val="16"/>
      <w:szCs w:val="16"/>
    </w:rPr>
  </w:style>
  <w:style w:type="paragraph" w:customStyle="1" w:styleId="Tiu20">
    <w:name w:val="Tiêu đề #2"/>
    <w:basedOn w:val="Normal"/>
    <w:link w:val="Tiu2"/>
    <w:pPr>
      <w:spacing w:line="254" w:lineRule="auto"/>
      <w:ind w:left="230" w:firstLine="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9"/>
      <w:szCs w:val="19"/>
    </w:rPr>
  </w:style>
  <w:style w:type="paragraph" w:customStyle="1" w:styleId="Tiu30">
    <w:name w:val="Tiêu đề #3"/>
    <w:basedOn w:val="Normal"/>
    <w:link w:val="Tiu3"/>
    <w:pPr>
      <w:spacing w:line="247" w:lineRule="auto"/>
      <w:outlineLvl w:val="2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spacing w:line="245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z w:val="13"/>
      <w:szCs w:val="13"/>
    </w:rPr>
  </w:style>
  <w:style w:type="paragraph" w:customStyle="1" w:styleId="Tiu10">
    <w:name w:val="Tiêu đề #1"/>
    <w:basedOn w:val="Normal"/>
    <w:link w:val="Tiu1"/>
    <w:pPr>
      <w:spacing w:line="262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color w:val="F05F62"/>
      <w:sz w:val="22"/>
      <w:szCs w:val="22"/>
    </w:rPr>
  </w:style>
  <w:style w:type="paragraph" w:customStyle="1" w:styleId="Stiu10">
    <w:name w:val="Số tiêu đề #1"/>
    <w:basedOn w:val="Normal"/>
    <w:link w:val="Stiu1"/>
    <w:pPr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7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ettelglobal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2024-02-22T11:31:00Z</dcterms:created>
  <dcterms:modified xsi:type="dcterms:W3CDTF">2024-02-22T11:31:00Z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bafcfbdc164440738264e6ad420120e20139d8bcb343a1076edac3592fe953ce</vt:lpwstr>
  </property>
</Properties>
</file>