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B3F4B" w14:textId="77777777" w:rsidR="00803B15" w:rsidRPr="007A164E" w:rsidRDefault="00803B15" w:rsidP="00337474">
      <w:pPr>
        <w:pStyle w:val="Vnbnnidung40"/>
        <w:spacing w:after="120" w:line="360" w:lineRule="auto"/>
        <w:ind w:firstLine="0"/>
        <w:rPr>
          <w:b/>
          <w:color w:val="010000"/>
          <w:sz w:val="20"/>
        </w:rPr>
      </w:pPr>
      <w:r w:rsidRPr="007A164E">
        <w:rPr>
          <w:b/>
          <w:color w:val="010000"/>
          <w:sz w:val="20"/>
        </w:rPr>
        <w:t>BMS: Board Resolution</w:t>
      </w:r>
    </w:p>
    <w:p w14:paraId="43A0717A" w14:textId="15378752" w:rsidR="00154E9A" w:rsidRPr="007A164E" w:rsidRDefault="00803B15" w:rsidP="00337474">
      <w:pPr>
        <w:pStyle w:val="Vnbnnidung40"/>
        <w:spacing w:after="120" w:line="360" w:lineRule="auto"/>
        <w:ind w:firstLine="0"/>
        <w:rPr>
          <w:bCs/>
          <w:color w:val="010000"/>
          <w:sz w:val="20"/>
        </w:rPr>
      </w:pPr>
      <w:r w:rsidRPr="007A164E">
        <w:rPr>
          <w:color w:val="010000"/>
          <w:sz w:val="20"/>
        </w:rPr>
        <w:t>On February 20, 2024, Bao Minh Securities Company announced Resolution No. 04/2024-BMSC/NQ-HDQT on approving the record date to exercise the right of shareholders as follows:</w:t>
      </w:r>
    </w:p>
    <w:p w14:paraId="4FC5035E" w14:textId="77777777" w:rsidR="00154E9A" w:rsidRPr="007A164E" w:rsidRDefault="001C3E69" w:rsidP="00337474">
      <w:pPr>
        <w:pStyle w:val="Chthchbng0"/>
        <w:spacing w:after="120" w:line="360" w:lineRule="auto"/>
        <w:rPr>
          <w:rFonts w:ascii="Arial" w:hAnsi="Arial" w:cs="Arial"/>
          <w:color w:val="010000"/>
          <w:sz w:val="20"/>
        </w:rPr>
      </w:pPr>
      <w:r w:rsidRPr="007A164E">
        <w:rPr>
          <w:rFonts w:ascii="Arial" w:hAnsi="Arial" w:cs="Arial"/>
          <w:color w:val="010000"/>
          <w:sz w:val="20"/>
        </w:rPr>
        <w:t>Article 1: Approve the record date to exercise rights for shareholders:</w:t>
      </w:r>
    </w:p>
    <w:tbl>
      <w:tblPr>
        <w:tblOverlap w:val="never"/>
        <w:tblW w:w="5000" w:type="pct"/>
        <w:tblCellMar>
          <w:left w:w="10" w:type="dxa"/>
          <w:right w:w="10" w:type="dxa"/>
        </w:tblCellMar>
        <w:tblLook w:val="04A0" w:firstRow="1" w:lastRow="0" w:firstColumn="1" w:lastColumn="0" w:noHBand="0" w:noVBand="1"/>
      </w:tblPr>
      <w:tblGrid>
        <w:gridCol w:w="2250"/>
        <w:gridCol w:w="6779"/>
      </w:tblGrid>
      <w:tr w:rsidR="00154E9A" w:rsidRPr="007A164E" w14:paraId="319DBAFC" w14:textId="77777777" w:rsidTr="00337474">
        <w:tc>
          <w:tcPr>
            <w:tcW w:w="1246" w:type="pct"/>
            <w:shd w:val="clear" w:color="auto" w:fill="auto"/>
          </w:tcPr>
          <w:p w14:paraId="541F0F01" w14:textId="77777777" w:rsidR="00154E9A" w:rsidRPr="007A164E" w:rsidRDefault="001C3E69" w:rsidP="00337474">
            <w:pPr>
              <w:pStyle w:val="Khc0"/>
              <w:numPr>
                <w:ilvl w:val="0"/>
                <w:numId w:val="2"/>
              </w:numPr>
              <w:tabs>
                <w:tab w:val="left" w:pos="163"/>
                <w:tab w:val="left" w:pos="1100"/>
              </w:tabs>
              <w:spacing w:after="120" w:line="360" w:lineRule="auto"/>
              <w:rPr>
                <w:rFonts w:ascii="Arial" w:hAnsi="Arial" w:cs="Arial"/>
                <w:color w:val="010000"/>
                <w:sz w:val="20"/>
              </w:rPr>
            </w:pPr>
            <w:r w:rsidRPr="007A164E">
              <w:rPr>
                <w:rFonts w:ascii="Arial" w:hAnsi="Arial" w:cs="Arial"/>
                <w:color w:val="010000"/>
                <w:sz w:val="20"/>
              </w:rPr>
              <w:t>Record date</w:t>
            </w:r>
          </w:p>
          <w:p w14:paraId="468F7BBE" w14:textId="77777777" w:rsidR="00154E9A" w:rsidRPr="007A164E" w:rsidRDefault="001C3E69" w:rsidP="00337474">
            <w:pPr>
              <w:pStyle w:val="Khc0"/>
              <w:numPr>
                <w:ilvl w:val="0"/>
                <w:numId w:val="2"/>
              </w:numPr>
              <w:tabs>
                <w:tab w:val="left" w:pos="163"/>
                <w:tab w:val="left" w:pos="1105"/>
              </w:tabs>
              <w:spacing w:after="120" w:line="360" w:lineRule="auto"/>
              <w:rPr>
                <w:rFonts w:ascii="Arial" w:hAnsi="Arial" w:cs="Arial"/>
                <w:color w:val="010000"/>
                <w:sz w:val="20"/>
              </w:rPr>
            </w:pPr>
            <w:r w:rsidRPr="007A164E">
              <w:rPr>
                <w:rFonts w:ascii="Arial" w:hAnsi="Arial" w:cs="Arial"/>
                <w:color w:val="010000"/>
                <w:sz w:val="20"/>
              </w:rPr>
              <w:t>Reasons and purposes</w:t>
            </w:r>
          </w:p>
          <w:p w14:paraId="098B14D3" w14:textId="77777777" w:rsidR="00154E9A" w:rsidRPr="007A164E" w:rsidRDefault="001C3E69" w:rsidP="00337474">
            <w:pPr>
              <w:pStyle w:val="Khc0"/>
              <w:numPr>
                <w:ilvl w:val="0"/>
                <w:numId w:val="2"/>
              </w:numPr>
              <w:tabs>
                <w:tab w:val="left" w:pos="163"/>
                <w:tab w:val="left" w:pos="1110"/>
              </w:tabs>
              <w:spacing w:after="120" w:line="360" w:lineRule="auto"/>
              <w:rPr>
                <w:rFonts w:ascii="Arial" w:hAnsi="Arial" w:cs="Arial"/>
                <w:color w:val="010000"/>
                <w:sz w:val="20"/>
              </w:rPr>
            </w:pPr>
            <w:r w:rsidRPr="007A164E">
              <w:rPr>
                <w:rFonts w:ascii="Arial" w:hAnsi="Arial" w:cs="Arial"/>
                <w:color w:val="010000"/>
                <w:sz w:val="20"/>
              </w:rPr>
              <w:t>Exercise rate</w:t>
            </w:r>
          </w:p>
          <w:p w14:paraId="37AA8C3D" w14:textId="77777777" w:rsidR="00154E9A" w:rsidRPr="007A164E" w:rsidRDefault="001C3E69" w:rsidP="00337474">
            <w:pPr>
              <w:pStyle w:val="Khc0"/>
              <w:numPr>
                <w:ilvl w:val="0"/>
                <w:numId w:val="2"/>
              </w:numPr>
              <w:tabs>
                <w:tab w:val="left" w:pos="163"/>
                <w:tab w:val="left" w:pos="1110"/>
              </w:tabs>
              <w:spacing w:after="120" w:line="360" w:lineRule="auto"/>
              <w:rPr>
                <w:rFonts w:ascii="Arial" w:hAnsi="Arial" w:cs="Arial"/>
                <w:color w:val="010000"/>
                <w:sz w:val="20"/>
              </w:rPr>
            </w:pPr>
            <w:r w:rsidRPr="007A164E">
              <w:rPr>
                <w:rFonts w:ascii="Arial" w:hAnsi="Arial" w:cs="Arial"/>
                <w:color w:val="010000"/>
                <w:sz w:val="20"/>
              </w:rPr>
              <w:t>Execution time</w:t>
            </w:r>
          </w:p>
          <w:p w14:paraId="24D2D2BC" w14:textId="77777777" w:rsidR="00154E9A" w:rsidRPr="007A164E" w:rsidRDefault="001C3E69" w:rsidP="00337474">
            <w:pPr>
              <w:pStyle w:val="Khc0"/>
              <w:numPr>
                <w:ilvl w:val="0"/>
                <w:numId w:val="2"/>
              </w:numPr>
              <w:tabs>
                <w:tab w:val="left" w:pos="163"/>
                <w:tab w:val="left" w:pos="1110"/>
              </w:tabs>
              <w:spacing w:after="120" w:line="360" w:lineRule="auto"/>
              <w:rPr>
                <w:rFonts w:ascii="Arial" w:hAnsi="Arial" w:cs="Arial"/>
                <w:color w:val="010000"/>
                <w:sz w:val="20"/>
              </w:rPr>
            </w:pPr>
            <w:r w:rsidRPr="007A164E">
              <w:rPr>
                <w:rFonts w:ascii="Arial" w:hAnsi="Arial" w:cs="Arial"/>
                <w:color w:val="010000"/>
                <w:sz w:val="20"/>
              </w:rPr>
              <w:t>Venue</w:t>
            </w:r>
          </w:p>
          <w:p w14:paraId="46EB3037" w14:textId="77777777" w:rsidR="00154E9A" w:rsidRPr="007A164E" w:rsidRDefault="001C3E69" w:rsidP="00337474">
            <w:pPr>
              <w:pStyle w:val="Khc0"/>
              <w:numPr>
                <w:ilvl w:val="0"/>
                <w:numId w:val="2"/>
              </w:numPr>
              <w:tabs>
                <w:tab w:val="left" w:pos="163"/>
                <w:tab w:val="left" w:pos="1100"/>
              </w:tabs>
              <w:spacing w:after="120" w:line="360" w:lineRule="auto"/>
              <w:rPr>
                <w:rFonts w:ascii="Arial" w:hAnsi="Arial" w:cs="Arial"/>
                <w:color w:val="010000"/>
                <w:sz w:val="20"/>
              </w:rPr>
            </w:pPr>
            <w:r w:rsidRPr="007A164E">
              <w:rPr>
                <w:rFonts w:ascii="Arial" w:hAnsi="Arial" w:cs="Arial"/>
                <w:color w:val="010000"/>
                <w:sz w:val="20"/>
              </w:rPr>
              <w:t>Meeting contents</w:t>
            </w:r>
          </w:p>
          <w:p w14:paraId="47A5977B" w14:textId="77777777" w:rsidR="00154E9A" w:rsidRPr="007A164E" w:rsidRDefault="001C3E69" w:rsidP="00337474">
            <w:pPr>
              <w:pStyle w:val="Khc0"/>
              <w:numPr>
                <w:ilvl w:val="0"/>
                <w:numId w:val="2"/>
              </w:numPr>
              <w:tabs>
                <w:tab w:val="left" w:pos="163"/>
                <w:tab w:val="left" w:pos="1110"/>
              </w:tabs>
              <w:spacing w:after="120" w:line="360" w:lineRule="auto"/>
              <w:rPr>
                <w:rFonts w:ascii="Arial" w:hAnsi="Arial" w:cs="Arial"/>
                <w:color w:val="010000"/>
                <w:sz w:val="20"/>
              </w:rPr>
            </w:pPr>
            <w:r w:rsidRPr="007A164E">
              <w:rPr>
                <w:rFonts w:ascii="Arial" w:hAnsi="Arial" w:cs="Arial"/>
                <w:color w:val="010000"/>
                <w:sz w:val="20"/>
              </w:rPr>
              <w:t>Meeting documents</w:t>
            </w:r>
          </w:p>
        </w:tc>
        <w:tc>
          <w:tcPr>
            <w:tcW w:w="3754" w:type="pct"/>
            <w:shd w:val="clear" w:color="auto" w:fill="auto"/>
          </w:tcPr>
          <w:p w14:paraId="36B119EF" w14:textId="77777777" w:rsidR="00154E9A" w:rsidRPr="007A164E" w:rsidRDefault="001C3E69" w:rsidP="00337474">
            <w:pPr>
              <w:pStyle w:val="Khc0"/>
              <w:tabs>
                <w:tab w:val="left" w:pos="432"/>
              </w:tabs>
              <w:spacing w:after="120" w:line="360" w:lineRule="auto"/>
              <w:rPr>
                <w:rFonts w:ascii="Arial" w:hAnsi="Arial" w:cs="Arial"/>
                <w:color w:val="010000"/>
                <w:sz w:val="20"/>
              </w:rPr>
            </w:pPr>
            <w:r w:rsidRPr="007A164E">
              <w:rPr>
                <w:rFonts w:ascii="Arial" w:hAnsi="Arial" w:cs="Arial"/>
                <w:color w:val="010000"/>
                <w:sz w:val="20"/>
              </w:rPr>
              <w:t>: March 13, 2024</w:t>
            </w:r>
          </w:p>
          <w:p w14:paraId="433CADE8" w14:textId="77777777" w:rsidR="00154E9A" w:rsidRPr="007A164E" w:rsidRDefault="001C3E69" w:rsidP="00337474">
            <w:pPr>
              <w:pStyle w:val="Khc0"/>
              <w:tabs>
                <w:tab w:val="left" w:pos="432"/>
              </w:tabs>
              <w:spacing w:after="120" w:line="360" w:lineRule="auto"/>
              <w:rPr>
                <w:rFonts w:ascii="Arial" w:hAnsi="Arial" w:cs="Arial"/>
                <w:color w:val="010000"/>
                <w:sz w:val="20"/>
              </w:rPr>
            </w:pPr>
            <w:r w:rsidRPr="007A164E">
              <w:rPr>
                <w:rFonts w:ascii="Arial" w:hAnsi="Arial" w:cs="Arial"/>
                <w:color w:val="010000"/>
                <w:sz w:val="20"/>
              </w:rPr>
              <w:t>: Organize the Annual General Meeting of Shareholders 2024</w:t>
            </w:r>
          </w:p>
          <w:p w14:paraId="09E86D15" w14:textId="0AFAD0BB" w:rsidR="00154E9A" w:rsidRPr="007A164E" w:rsidRDefault="001C3E69" w:rsidP="00337474">
            <w:pPr>
              <w:pStyle w:val="Khc0"/>
              <w:tabs>
                <w:tab w:val="left" w:pos="432"/>
              </w:tabs>
              <w:spacing w:after="120" w:line="360" w:lineRule="auto"/>
              <w:rPr>
                <w:rFonts w:ascii="Arial" w:hAnsi="Arial" w:cs="Arial"/>
                <w:color w:val="010000"/>
                <w:sz w:val="20"/>
              </w:rPr>
            </w:pPr>
            <w:r w:rsidRPr="007A164E">
              <w:rPr>
                <w:rFonts w:ascii="Arial" w:hAnsi="Arial" w:cs="Arial"/>
                <w:color w:val="010000"/>
                <w:sz w:val="20"/>
              </w:rPr>
              <w:t>: 1 share - 1 voting right</w:t>
            </w:r>
            <w:r w:rsidR="00CB2900">
              <w:rPr>
                <w:rFonts w:ascii="Arial" w:hAnsi="Arial" w:cs="Arial"/>
                <w:color w:val="010000"/>
                <w:sz w:val="20"/>
              </w:rPr>
              <w:t>s</w:t>
            </w:r>
            <w:bookmarkStart w:id="0" w:name="_GoBack"/>
            <w:bookmarkEnd w:id="0"/>
          </w:p>
          <w:p w14:paraId="34AD8344" w14:textId="77777777" w:rsidR="00154E9A" w:rsidRPr="007A164E" w:rsidRDefault="001C3E69" w:rsidP="00337474">
            <w:pPr>
              <w:pStyle w:val="Khc0"/>
              <w:tabs>
                <w:tab w:val="left" w:pos="432"/>
              </w:tabs>
              <w:spacing w:after="120" w:line="360" w:lineRule="auto"/>
              <w:rPr>
                <w:rFonts w:ascii="Arial" w:hAnsi="Arial" w:cs="Arial"/>
                <w:color w:val="010000"/>
                <w:sz w:val="20"/>
              </w:rPr>
            </w:pPr>
            <w:r w:rsidRPr="007A164E">
              <w:rPr>
                <w:rFonts w:ascii="Arial" w:hAnsi="Arial" w:cs="Arial"/>
                <w:color w:val="010000"/>
                <w:sz w:val="20"/>
              </w:rPr>
              <w:t>: To be announced in details in the invitation letter</w:t>
            </w:r>
          </w:p>
          <w:p w14:paraId="7F9189DC" w14:textId="2EC5D141" w:rsidR="00154E9A" w:rsidRPr="007A164E" w:rsidRDefault="001C3E69" w:rsidP="00337474">
            <w:pPr>
              <w:pStyle w:val="Khc0"/>
              <w:tabs>
                <w:tab w:val="left" w:pos="432"/>
              </w:tabs>
              <w:spacing w:after="120" w:line="360" w:lineRule="auto"/>
              <w:rPr>
                <w:rFonts w:ascii="Arial" w:hAnsi="Arial" w:cs="Arial"/>
                <w:color w:val="010000"/>
                <w:sz w:val="20"/>
              </w:rPr>
            </w:pPr>
            <w:r w:rsidRPr="007A164E">
              <w:rPr>
                <w:rFonts w:ascii="Arial" w:hAnsi="Arial" w:cs="Arial"/>
                <w:color w:val="010000"/>
                <w:sz w:val="20"/>
              </w:rPr>
              <w:t xml:space="preserve">: To be informed to shareholders in detail </w:t>
            </w:r>
            <w:r w:rsidR="00337474" w:rsidRPr="007A164E">
              <w:rPr>
                <w:rFonts w:ascii="Arial" w:hAnsi="Arial" w:cs="Arial"/>
                <w:color w:val="010000"/>
                <w:sz w:val="20"/>
              </w:rPr>
              <w:t>in</w:t>
            </w:r>
            <w:r w:rsidRPr="007A164E">
              <w:rPr>
                <w:rFonts w:ascii="Arial" w:hAnsi="Arial" w:cs="Arial"/>
                <w:color w:val="010000"/>
                <w:sz w:val="20"/>
              </w:rPr>
              <w:t xml:space="preserve"> the invitation letter.</w:t>
            </w:r>
          </w:p>
          <w:p w14:paraId="0D62CC0A" w14:textId="77777777" w:rsidR="00154E9A" w:rsidRPr="007A164E" w:rsidRDefault="001C3E69" w:rsidP="00337474">
            <w:pPr>
              <w:pStyle w:val="Khc0"/>
              <w:tabs>
                <w:tab w:val="left" w:pos="432"/>
              </w:tabs>
              <w:spacing w:after="120" w:line="360" w:lineRule="auto"/>
              <w:rPr>
                <w:rFonts w:ascii="Arial" w:hAnsi="Arial" w:cs="Arial"/>
                <w:color w:val="010000"/>
                <w:sz w:val="20"/>
              </w:rPr>
            </w:pPr>
            <w:r w:rsidRPr="007A164E">
              <w:rPr>
                <w:rFonts w:ascii="Arial" w:hAnsi="Arial" w:cs="Arial"/>
                <w:color w:val="010000"/>
                <w:sz w:val="20"/>
              </w:rPr>
              <w:t>: Other contents under the authority of the General Meeting of Shareholders</w:t>
            </w:r>
          </w:p>
          <w:p w14:paraId="223A4CB7" w14:textId="77777777" w:rsidR="00154E9A" w:rsidRPr="007A164E" w:rsidRDefault="001C3E69" w:rsidP="00337474">
            <w:pPr>
              <w:pStyle w:val="Khc0"/>
              <w:tabs>
                <w:tab w:val="left" w:pos="432"/>
              </w:tabs>
              <w:spacing w:after="120" w:line="360" w:lineRule="auto"/>
              <w:rPr>
                <w:rFonts w:ascii="Arial" w:hAnsi="Arial" w:cs="Arial"/>
                <w:color w:val="010000"/>
                <w:sz w:val="20"/>
              </w:rPr>
            </w:pPr>
            <w:r w:rsidRPr="007A164E">
              <w:rPr>
                <w:rFonts w:ascii="Arial" w:hAnsi="Arial" w:cs="Arial"/>
                <w:color w:val="010000"/>
                <w:sz w:val="20"/>
              </w:rPr>
              <w:t>: To be disclosed in accordance with regulations.</w:t>
            </w:r>
          </w:p>
        </w:tc>
      </w:tr>
    </w:tbl>
    <w:p w14:paraId="29A8A0A9" w14:textId="77777777" w:rsidR="00154E9A" w:rsidRPr="007A164E" w:rsidRDefault="001C3E69" w:rsidP="00337474">
      <w:pPr>
        <w:pStyle w:val="Vnbnnidung0"/>
        <w:spacing w:after="120" w:line="360" w:lineRule="auto"/>
        <w:rPr>
          <w:rFonts w:ascii="Arial" w:hAnsi="Arial" w:cs="Arial"/>
          <w:color w:val="010000"/>
          <w:sz w:val="20"/>
        </w:rPr>
      </w:pPr>
      <w:r w:rsidRPr="007A164E">
        <w:rPr>
          <w:rFonts w:ascii="Arial" w:hAnsi="Arial" w:cs="Arial"/>
          <w:color w:val="010000"/>
          <w:sz w:val="20"/>
        </w:rPr>
        <w:t>Article 2: Assign the General Manager of the Company to notify the record date to exercise the rights of shareholders to attend the Annual General Meeting of Shareholders 2024 to the Vietnam Securities Depository and Clearing Corporation and sign and approve other documents according to regulations.</w:t>
      </w:r>
    </w:p>
    <w:p w14:paraId="4F2CB12A" w14:textId="0C0AC734" w:rsidR="00154E9A" w:rsidRPr="007A164E" w:rsidRDefault="001C3E69" w:rsidP="00337474">
      <w:pPr>
        <w:pStyle w:val="Vnbnnidung0"/>
        <w:spacing w:after="120" w:line="360" w:lineRule="auto"/>
        <w:rPr>
          <w:rFonts w:ascii="Arial" w:hAnsi="Arial" w:cs="Arial"/>
          <w:color w:val="010000"/>
          <w:sz w:val="20"/>
        </w:rPr>
      </w:pPr>
      <w:r w:rsidRPr="007A164E">
        <w:rPr>
          <w:rFonts w:ascii="Arial" w:hAnsi="Arial" w:cs="Arial"/>
          <w:color w:val="010000"/>
          <w:sz w:val="20"/>
        </w:rPr>
        <w:t>Article 3. This Resolution takes effect from the date of its signing. Members of the Board of Directors, members of the Supervisory Board, the Board of Management and relevant departments are responsible for implementing this Resolution.</w:t>
      </w:r>
    </w:p>
    <w:sectPr w:rsidR="00154E9A" w:rsidRPr="007A164E" w:rsidSect="00337474">
      <w:pgSz w:w="11909" w:h="16834"/>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C33BC" w14:textId="77777777" w:rsidR="00ED514F" w:rsidRDefault="00ED514F">
      <w:r>
        <w:separator/>
      </w:r>
    </w:p>
  </w:endnote>
  <w:endnote w:type="continuationSeparator" w:id="0">
    <w:p w14:paraId="7A4CEB02" w14:textId="77777777" w:rsidR="00ED514F" w:rsidRDefault="00ED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FB355" w14:textId="77777777" w:rsidR="00ED514F" w:rsidRDefault="00ED514F"/>
  </w:footnote>
  <w:footnote w:type="continuationSeparator" w:id="0">
    <w:p w14:paraId="22C3A87E" w14:textId="77777777" w:rsidR="00ED514F" w:rsidRDefault="00ED51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23354"/>
    <w:multiLevelType w:val="multilevel"/>
    <w:tmpl w:val="3DC050CC"/>
    <w:lvl w:ilvl="0">
      <w:start w:val="1"/>
      <w:numFmt w:val="bullet"/>
      <w:lvlText w:val="-"/>
      <w:lvlJc w:val="left"/>
      <w:rPr>
        <w:rFonts w:ascii="Arial" w:eastAsia="Times New Roman" w:hAnsi="Arial" w:cs="Arial"/>
        <w:b w:val="0"/>
        <w:bCs w:val="0"/>
        <w:i w:val="0"/>
        <w:iCs w:val="0"/>
        <w:smallCaps w:val="0"/>
        <w:strike w:val="0"/>
        <w:color w:val="000000"/>
        <w:spacing w:val="0"/>
        <w:w w:val="100"/>
        <w:position w:val="0"/>
        <w:sz w:val="20"/>
        <w:szCs w:val="24"/>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82325A"/>
    <w:multiLevelType w:val="multilevel"/>
    <w:tmpl w:val="2DFA53F0"/>
    <w:lvl w:ilvl="0">
      <w:start w:val="1"/>
      <w:numFmt w:val="bullet"/>
      <w:lvlText w:val="-"/>
      <w:lvlJc w:val="left"/>
      <w:rPr>
        <w:rFonts w:ascii="Arial" w:eastAsia="Times New Roman" w:hAnsi="Arial" w:cs="Arial"/>
        <w:b w:val="0"/>
        <w:bCs w:val="0"/>
        <w:i w:val="0"/>
        <w:iCs w:val="0"/>
        <w:smallCaps w:val="0"/>
        <w:strike w:val="0"/>
        <w:color w:val="000000"/>
        <w:spacing w:val="0"/>
        <w:w w:val="100"/>
        <w:position w:val="0"/>
        <w:sz w:val="20"/>
        <w:szCs w:val="24"/>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9A"/>
    <w:rsid w:val="00154E9A"/>
    <w:rsid w:val="001C3E69"/>
    <w:rsid w:val="00200753"/>
    <w:rsid w:val="00337474"/>
    <w:rsid w:val="007A164E"/>
    <w:rsid w:val="00803B15"/>
    <w:rsid w:val="00CB2900"/>
    <w:rsid w:val="00DC07D9"/>
    <w:rsid w:val="00ED5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1CAB4"/>
  <w15:docId w15:val="{32C1E464-CECF-4764-80BF-686B10A2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14"/>
      <w:szCs w:val="14"/>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0"/>
      <w:szCs w:val="1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0">
    <w:name w:val="Văn bản nội dung"/>
    <w:basedOn w:val="Normal"/>
    <w:link w:val="Vnbnnidung"/>
    <w:pPr>
      <w:spacing w:line="257" w:lineRule="auto"/>
    </w:pPr>
    <w:rPr>
      <w:rFonts w:ascii="Times New Roman" w:eastAsia="Times New Roman" w:hAnsi="Times New Roman" w:cs="Times New Roman"/>
    </w:rPr>
  </w:style>
  <w:style w:type="paragraph" w:customStyle="1" w:styleId="Vnbnnidung20">
    <w:name w:val="Văn bản nội dung (2)"/>
    <w:basedOn w:val="Normal"/>
    <w:link w:val="Vnbnnidung2"/>
    <w:pPr>
      <w:spacing w:line="271" w:lineRule="auto"/>
      <w:ind w:left="240" w:hanging="60"/>
    </w:pPr>
    <w:rPr>
      <w:rFonts w:ascii="Times New Roman" w:eastAsia="Times New Roman" w:hAnsi="Times New Roman" w:cs="Times New Roman"/>
      <w:i/>
      <w:iCs/>
    </w:rPr>
  </w:style>
  <w:style w:type="paragraph" w:customStyle="1" w:styleId="Vnbnnidung40">
    <w:name w:val="Văn bản nội dung (4)"/>
    <w:basedOn w:val="Normal"/>
    <w:link w:val="Vnbnnidung4"/>
    <w:pPr>
      <w:ind w:hanging="730"/>
    </w:pPr>
    <w:rPr>
      <w:rFonts w:ascii="Arial" w:eastAsia="Arial" w:hAnsi="Arial" w:cs="Arial"/>
      <w:sz w:val="14"/>
      <w:szCs w:val="14"/>
    </w:rPr>
  </w:style>
  <w:style w:type="paragraph" w:customStyle="1" w:styleId="Vnbnnidung30">
    <w:name w:val="Văn bản nội dung (3)"/>
    <w:basedOn w:val="Normal"/>
    <w:link w:val="Vnbnnidung3"/>
    <w:pPr>
      <w:spacing w:line="161" w:lineRule="auto"/>
      <w:ind w:left="-1460"/>
    </w:pPr>
    <w:rPr>
      <w:rFonts w:ascii="Arial" w:eastAsia="Arial" w:hAnsi="Arial" w:cs="Arial"/>
      <w:sz w:val="10"/>
      <w:szCs w:val="10"/>
    </w:rPr>
  </w:style>
  <w:style w:type="paragraph" w:customStyle="1" w:styleId="Khc0">
    <w:name w:val="Khác"/>
    <w:basedOn w:val="Normal"/>
    <w:link w:val="Khc"/>
    <w:pPr>
      <w:spacing w:line="257" w:lineRule="auto"/>
    </w:pPr>
    <w:rPr>
      <w:rFonts w:ascii="Times New Roman" w:eastAsia="Times New Roman" w:hAnsi="Times New Roman" w:cs="Times New Roman"/>
    </w:rPr>
  </w:style>
  <w:style w:type="paragraph" w:customStyle="1" w:styleId="Chthchbng0">
    <w:name w:val="Chú thích bảng"/>
    <w:basedOn w:val="Normal"/>
    <w:link w:val="Chthchbng"/>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2024-02-23T04:33:00Z</dcterms:created>
  <dcterms:modified xsi:type="dcterms:W3CDTF">2024-02-23T04:33:00Z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c4f0d45cda1f0d235759081cb7c8f19d1270e9190d4f50008c3d23bbba2bdf23</vt:lpwstr>
  </property>
</Properties>
</file>