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78D8" w14:textId="77777777" w:rsidR="003623AE" w:rsidRPr="00BF554C" w:rsidRDefault="005B1B71" w:rsidP="00DC47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3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F554C">
        <w:rPr>
          <w:rFonts w:ascii="Arial" w:hAnsi="Arial" w:cs="Arial"/>
          <w:b/>
          <w:color w:val="010000"/>
          <w:sz w:val="20"/>
        </w:rPr>
        <w:t>MDF: Explanation of Financial Statements 2023</w:t>
      </w:r>
    </w:p>
    <w:p w14:paraId="5EF8DACC" w14:textId="42995960" w:rsidR="003623AE" w:rsidRPr="00BF554C" w:rsidRDefault="005B1B71" w:rsidP="00DC47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r w:rsidRPr="00BF554C">
        <w:rPr>
          <w:rFonts w:ascii="Arial" w:hAnsi="Arial" w:cs="Arial"/>
          <w:color w:val="010000"/>
          <w:sz w:val="20"/>
        </w:rPr>
        <w:t xml:space="preserve">On February 06, 2024, MDF VRG Quang Tri Wood Joint Stock Company announced Official Dispatch No. 57/MDFQT-TCKT </w:t>
      </w:r>
      <w:r w:rsidR="00BF554C" w:rsidRPr="00BF554C">
        <w:rPr>
          <w:rFonts w:ascii="Arial" w:hAnsi="Arial" w:cs="Arial"/>
          <w:color w:val="010000"/>
          <w:sz w:val="20"/>
        </w:rPr>
        <w:t xml:space="preserve">on </w:t>
      </w:r>
      <w:r w:rsidRPr="00BF554C">
        <w:rPr>
          <w:rFonts w:ascii="Arial" w:hAnsi="Arial" w:cs="Arial"/>
          <w:color w:val="010000"/>
          <w:sz w:val="20"/>
        </w:rPr>
        <w:t>explaining the Financial Statements 2023 as follows:</w:t>
      </w:r>
    </w:p>
    <w:p w14:paraId="0BEEA645" w14:textId="77777777" w:rsidR="003623AE" w:rsidRPr="00BF554C" w:rsidRDefault="005B1B71" w:rsidP="005B1B7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8"/>
        <w:gridCol w:w="2973"/>
        <w:gridCol w:w="1952"/>
        <w:gridCol w:w="2020"/>
        <w:gridCol w:w="1486"/>
      </w:tblGrid>
      <w:tr w:rsidR="003623AE" w:rsidRPr="00BF554C" w14:paraId="47B9F5DD" w14:textId="77777777" w:rsidTr="005B1B71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D5698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FE188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BEFDA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D690B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3A5BD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3623AE" w:rsidRPr="00BF554C" w14:paraId="6296D809" w14:textId="77777777" w:rsidTr="005B1B71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9ED96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C6637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Total revenue and other incomes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A13D7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790,016,065,916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7DA00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1,290,833,670,923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302FF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-38.80%</w:t>
            </w:r>
          </w:p>
        </w:tc>
      </w:tr>
      <w:tr w:rsidR="003623AE" w:rsidRPr="00BF554C" w14:paraId="2E643F8C" w14:textId="77777777" w:rsidTr="005B1B71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C495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476DF" w14:textId="100680DC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134B0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816,297,703,728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EF829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1,283,499,741,669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32DE4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-36.40%</w:t>
            </w:r>
          </w:p>
        </w:tc>
      </w:tr>
      <w:tr w:rsidR="003623AE" w:rsidRPr="00BF554C" w14:paraId="438933A2" w14:textId="77777777" w:rsidTr="005B1B71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6AEC8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C0F16" w14:textId="648A2840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BB66E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-26,281,637,812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2621F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7,333,929,254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AEFAA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-458.36%</w:t>
            </w:r>
          </w:p>
        </w:tc>
      </w:tr>
      <w:tr w:rsidR="003623AE" w:rsidRPr="00BF554C" w14:paraId="3D410169" w14:textId="77777777" w:rsidTr="005B1B71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EB6C1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5C8FA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30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</w:p>
        </w:tc>
        <w:tc>
          <w:tcPr>
            <w:tcW w:w="10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C07E0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-26,281,637,812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6CE46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5,606,681,013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45295" w14:textId="77777777" w:rsidR="003623AE" w:rsidRPr="00BF554C" w:rsidRDefault="005B1B71" w:rsidP="005B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F554C">
              <w:rPr>
                <w:rFonts w:ascii="Arial" w:hAnsi="Arial" w:cs="Arial"/>
                <w:color w:val="010000"/>
                <w:sz w:val="20"/>
              </w:rPr>
              <w:t>-568.76%</w:t>
            </w:r>
          </w:p>
        </w:tc>
      </w:tr>
    </w:tbl>
    <w:p w14:paraId="01DFE67A" w14:textId="74686FF7" w:rsidR="003623AE" w:rsidRPr="00BF554C" w:rsidRDefault="005B1B71" w:rsidP="00DC47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 xml:space="preserve">The production and business results of the Company in 2023 over the same period of last year </w:t>
      </w:r>
      <w:r w:rsidR="00BF554C" w:rsidRPr="00BF554C">
        <w:rPr>
          <w:rFonts w:ascii="Arial" w:hAnsi="Arial" w:cs="Arial"/>
          <w:color w:val="010000"/>
          <w:sz w:val="20"/>
        </w:rPr>
        <w:t xml:space="preserve">were shown </w:t>
      </w:r>
      <w:r w:rsidRPr="00BF554C">
        <w:rPr>
          <w:rFonts w:ascii="Arial" w:hAnsi="Arial" w:cs="Arial"/>
          <w:color w:val="010000"/>
          <w:sz w:val="20"/>
        </w:rPr>
        <w:t xml:space="preserve">through the following </w:t>
      </w:r>
      <w:r w:rsidR="00BF554C" w:rsidRPr="00BF554C">
        <w:rPr>
          <w:rFonts w:ascii="Arial" w:hAnsi="Arial" w:cs="Arial"/>
          <w:color w:val="010000"/>
          <w:sz w:val="20"/>
        </w:rPr>
        <w:t>targets</w:t>
      </w:r>
      <w:r w:rsidRPr="00BF554C">
        <w:rPr>
          <w:rFonts w:ascii="Arial" w:hAnsi="Arial" w:cs="Arial"/>
          <w:color w:val="010000"/>
          <w:sz w:val="20"/>
        </w:rPr>
        <w:t>:</w:t>
      </w:r>
    </w:p>
    <w:p w14:paraId="059974D2" w14:textId="5626D20D" w:rsidR="003623AE" w:rsidRPr="00BF554C" w:rsidRDefault="005B1B71" w:rsidP="00DC4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 xml:space="preserve">Revenue: Revenue decreased by 38.8% over the last year. This was affected by consumption decreased by 35% (from 259,490 to 168,804 m3). Therefore, revenue from MDF products was equal to 61.2% </w:t>
      </w:r>
      <w:r w:rsidR="00DC47F1">
        <w:rPr>
          <w:rFonts w:ascii="Arial" w:hAnsi="Arial" w:cs="Arial"/>
          <w:color w:val="010000"/>
          <w:sz w:val="20"/>
        </w:rPr>
        <w:t>year on</w:t>
      </w:r>
      <w:r w:rsidRPr="00BF554C">
        <w:rPr>
          <w:rFonts w:ascii="Arial" w:hAnsi="Arial" w:cs="Arial"/>
          <w:color w:val="010000"/>
          <w:sz w:val="20"/>
        </w:rPr>
        <w:t xml:space="preserve"> year</w:t>
      </w:r>
    </w:p>
    <w:p w14:paraId="6B234CFE" w14:textId="1BB5FF11" w:rsidR="003623AE" w:rsidRPr="00BF554C" w:rsidRDefault="005B1B71" w:rsidP="00DC4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 xml:space="preserve">Total expenses: Total expenses in 2023 decreased by 36.4%, however the decrease in </w:t>
      </w:r>
      <w:r w:rsidR="00BF554C" w:rsidRPr="00BF554C">
        <w:rPr>
          <w:rFonts w:ascii="Arial" w:hAnsi="Arial" w:cs="Arial"/>
          <w:color w:val="010000"/>
          <w:sz w:val="20"/>
        </w:rPr>
        <w:t>expenses</w:t>
      </w:r>
      <w:r w:rsidRPr="00BF554C">
        <w:rPr>
          <w:rFonts w:ascii="Arial" w:hAnsi="Arial" w:cs="Arial"/>
          <w:color w:val="010000"/>
          <w:sz w:val="20"/>
        </w:rPr>
        <w:t xml:space="preserve"> did not equal the decrease in revenue by 38.8%. Therefore, business results decreased over the last year.</w:t>
      </w:r>
    </w:p>
    <w:p w14:paraId="444D9FA7" w14:textId="6827EC20" w:rsidR="003623AE" w:rsidRPr="00BF554C" w:rsidRDefault="005B1B71" w:rsidP="00DC4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 xml:space="preserve">Profit after tax in 2023: Production and business results lost VND 26,281 billion due to the objective </w:t>
      </w:r>
      <w:r w:rsidR="00BF554C" w:rsidRPr="00BF554C">
        <w:rPr>
          <w:rFonts w:ascii="Arial" w:hAnsi="Arial" w:cs="Arial"/>
          <w:color w:val="010000"/>
          <w:sz w:val="20"/>
        </w:rPr>
        <w:t>status</w:t>
      </w:r>
      <w:r w:rsidRPr="00BF554C">
        <w:rPr>
          <w:rFonts w:ascii="Arial" w:hAnsi="Arial" w:cs="Arial"/>
          <w:color w:val="010000"/>
          <w:sz w:val="20"/>
        </w:rPr>
        <w:t xml:space="preserve"> of the consumption market</w:t>
      </w:r>
      <w:r w:rsidR="00BF554C" w:rsidRPr="00BF554C">
        <w:rPr>
          <w:rFonts w:ascii="Arial" w:hAnsi="Arial" w:cs="Arial"/>
          <w:color w:val="010000"/>
          <w:sz w:val="20"/>
        </w:rPr>
        <w:t xml:space="preserve">. Accordingly, </w:t>
      </w:r>
      <w:r w:rsidRPr="00BF554C">
        <w:rPr>
          <w:rFonts w:ascii="Arial" w:hAnsi="Arial" w:cs="Arial"/>
          <w:color w:val="010000"/>
          <w:sz w:val="20"/>
        </w:rPr>
        <w:t>a deep decrease in selling prices</w:t>
      </w:r>
      <w:r w:rsidR="00BF554C" w:rsidRPr="00BF554C">
        <w:rPr>
          <w:rFonts w:ascii="Arial" w:hAnsi="Arial" w:cs="Arial"/>
          <w:color w:val="010000"/>
          <w:sz w:val="20"/>
        </w:rPr>
        <w:t xml:space="preserve"> leading to </w:t>
      </w:r>
      <w:r w:rsidRPr="00BF554C">
        <w:rPr>
          <w:rFonts w:ascii="Arial" w:hAnsi="Arial" w:cs="Arial"/>
          <w:color w:val="010000"/>
          <w:sz w:val="20"/>
        </w:rPr>
        <w:t xml:space="preserve">high input prices. Products are consumed slowly, capital is stagnant, </w:t>
      </w:r>
      <w:r w:rsidR="00BF554C" w:rsidRPr="00BF554C">
        <w:rPr>
          <w:rFonts w:ascii="Arial" w:hAnsi="Arial" w:cs="Arial"/>
          <w:color w:val="010000"/>
          <w:sz w:val="20"/>
        </w:rPr>
        <w:t xml:space="preserve">and </w:t>
      </w:r>
      <w:r w:rsidRPr="00BF554C">
        <w:rPr>
          <w:rFonts w:ascii="Arial" w:hAnsi="Arial" w:cs="Arial"/>
          <w:color w:val="010000"/>
          <w:sz w:val="20"/>
        </w:rPr>
        <w:t>financial costs are much higher than in the last year.</w:t>
      </w:r>
    </w:p>
    <w:p w14:paraId="70F2B03E" w14:textId="6A81DC27" w:rsidR="003623AE" w:rsidRPr="00BF554C" w:rsidRDefault="005B1B71" w:rsidP="00DC47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F554C">
        <w:rPr>
          <w:rFonts w:ascii="Arial" w:hAnsi="Arial" w:cs="Arial"/>
          <w:color w:val="010000"/>
          <w:sz w:val="20"/>
        </w:rPr>
        <w:t xml:space="preserve">In early 2023, the export market freezes, </w:t>
      </w:r>
      <w:r w:rsidR="00BF554C" w:rsidRPr="00BF554C">
        <w:rPr>
          <w:rFonts w:ascii="Arial" w:hAnsi="Arial" w:cs="Arial"/>
          <w:color w:val="010000"/>
          <w:sz w:val="20"/>
        </w:rPr>
        <w:t xml:space="preserve">resulting to </w:t>
      </w:r>
      <w:r w:rsidRPr="00BF554C">
        <w:rPr>
          <w:rFonts w:ascii="Arial" w:hAnsi="Arial" w:cs="Arial"/>
          <w:color w:val="010000"/>
          <w:sz w:val="20"/>
        </w:rPr>
        <w:t xml:space="preserve">not </w:t>
      </w:r>
      <w:r w:rsidR="00BF554C" w:rsidRPr="00BF554C">
        <w:rPr>
          <w:rFonts w:ascii="Arial" w:hAnsi="Arial" w:cs="Arial"/>
          <w:color w:val="010000"/>
          <w:sz w:val="20"/>
        </w:rPr>
        <w:t xml:space="preserve">be able to </w:t>
      </w:r>
      <w:r w:rsidRPr="00BF554C">
        <w:rPr>
          <w:rFonts w:ascii="Arial" w:hAnsi="Arial" w:cs="Arial"/>
          <w:color w:val="010000"/>
          <w:sz w:val="20"/>
        </w:rPr>
        <w:t>export</w:t>
      </w:r>
      <w:r w:rsidR="00BF554C" w:rsidRPr="00BF554C">
        <w:rPr>
          <w:rFonts w:ascii="Arial" w:hAnsi="Arial" w:cs="Arial"/>
          <w:color w:val="010000"/>
          <w:sz w:val="20"/>
        </w:rPr>
        <w:t>. However, d</w:t>
      </w:r>
      <w:r w:rsidRPr="00BF554C">
        <w:rPr>
          <w:rFonts w:ascii="Arial" w:hAnsi="Arial" w:cs="Arial"/>
          <w:color w:val="010000"/>
          <w:sz w:val="20"/>
        </w:rPr>
        <w:t>omestic manufacturers continue to pro</w:t>
      </w:r>
      <w:bookmarkStart w:id="0" w:name="_GoBack"/>
      <w:bookmarkEnd w:id="0"/>
      <w:r w:rsidRPr="00BF554C">
        <w:rPr>
          <w:rFonts w:ascii="Arial" w:hAnsi="Arial" w:cs="Arial"/>
          <w:color w:val="010000"/>
          <w:sz w:val="20"/>
        </w:rPr>
        <w:t>duce high inventory volumes at factories</w:t>
      </w:r>
      <w:r w:rsidR="00BF554C" w:rsidRPr="00BF554C">
        <w:rPr>
          <w:rFonts w:ascii="Arial" w:hAnsi="Arial" w:cs="Arial"/>
          <w:color w:val="010000"/>
          <w:sz w:val="20"/>
        </w:rPr>
        <w:t>. B</w:t>
      </w:r>
      <w:r w:rsidRPr="00BF554C">
        <w:rPr>
          <w:rFonts w:ascii="Arial" w:hAnsi="Arial" w:cs="Arial"/>
          <w:color w:val="010000"/>
          <w:sz w:val="20"/>
        </w:rPr>
        <w:t xml:space="preserve">y the middle of the year, exports continue to be unable to export, forced to release goods, reducing domestic consumption prices. </w:t>
      </w:r>
      <w:r w:rsidR="00BF554C" w:rsidRPr="00BF554C">
        <w:rPr>
          <w:rFonts w:ascii="Arial" w:hAnsi="Arial" w:cs="Arial"/>
          <w:color w:val="010000"/>
          <w:sz w:val="20"/>
        </w:rPr>
        <w:t>These l</w:t>
      </w:r>
      <w:r w:rsidRPr="00BF554C">
        <w:rPr>
          <w:rFonts w:ascii="Arial" w:hAnsi="Arial" w:cs="Arial"/>
          <w:color w:val="010000"/>
          <w:sz w:val="20"/>
        </w:rPr>
        <w:t>ead to a series of factories reduc</w:t>
      </w:r>
      <w:r w:rsidR="00BF554C" w:rsidRPr="00BF554C">
        <w:rPr>
          <w:rFonts w:ascii="Arial" w:hAnsi="Arial" w:cs="Arial"/>
          <w:color w:val="010000"/>
          <w:sz w:val="20"/>
        </w:rPr>
        <w:t>ing</w:t>
      </w:r>
      <w:r w:rsidRPr="00BF554C">
        <w:rPr>
          <w:rFonts w:ascii="Arial" w:hAnsi="Arial" w:cs="Arial"/>
          <w:color w:val="010000"/>
          <w:sz w:val="20"/>
        </w:rPr>
        <w:t xml:space="preserve"> selling prices</w:t>
      </w:r>
      <w:r w:rsidR="00BF554C" w:rsidRPr="00BF554C">
        <w:rPr>
          <w:rFonts w:ascii="Arial" w:hAnsi="Arial" w:cs="Arial"/>
          <w:color w:val="010000"/>
          <w:sz w:val="20"/>
        </w:rPr>
        <w:t xml:space="preserve"> and </w:t>
      </w:r>
      <w:r w:rsidRPr="00BF554C">
        <w:rPr>
          <w:rFonts w:ascii="Arial" w:hAnsi="Arial" w:cs="Arial"/>
          <w:color w:val="010000"/>
          <w:sz w:val="20"/>
        </w:rPr>
        <w:t>accept</w:t>
      </w:r>
      <w:r w:rsidR="00BF554C" w:rsidRPr="00BF554C">
        <w:rPr>
          <w:rFonts w:ascii="Arial" w:hAnsi="Arial" w:cs="Arial"/>
          <w:color w:val="010000"/>
          <w:sz w:val="20"/>
        </w:rPr>
        <w:t>ing</w:t>
      </w:r>
      <w:r w:rsidRPr="00BF554C">
        <w:rPr>
          <w:rFonts w:ascii="Arial" w:hAnsi="Arial" w:cs="Arial"/>
          <w:color w:val="010000"/>
          <w:sz w:val="20"/>
        </w:rPr>
        <w:t xml:space="preserve"> losses to maintain production. </w:t>
      </w:r>
      <w:r w:rsidR="00BF554C" w:rsidRPr="00BF554C">
        <w:rPr>
          <w:rFonts w:ascii="Arial" w:hAnsi="Arial" w:cs="Arial"/>
          <w:color w:val="010000"/>
          <w:sz w:val="20"/>
        </w:rPr>
        <w:t>A</w:t>
      </w:r>
      <w:r w:rsidRPr="00BF554C">
        <w:rPr>
          <w:rFonts w:ascii="Arial" w:hAnsi="Arial" w:cs="Arial"/>
          <w:color w:val="010000"/>
          <w:sz w:val="20"/>
        </w:rPr>
        <w:t>s a result of production and business this year, most MDF enterprises los</w:t>
      </w:r>
      <w:r w:rsidR="00BF554C" w:rsidRPr="00BF554C">
        <w:rPr>
          <w:rFonts w:ascii="Arial" w:hAnsi="Arial" w:cs="Arial"/>
          <w:color w:val="010000"/>
          <w:sz w:val="20"/>
        </w:rPr>
        <w:t>t</w:t>
      </w:r>
      <w:r w:rsidRPr="00BF554C">
        <w:rPr>
          <w:rFonts w:ascii="Arial" w:hAnsi="Arial" w:cs="Arial"/>
          <w:color w:val="010000"/>
          <w:sz w:val="20"/>
        </w:rPr>
        <w:t>. VRG Quang Tri MDF was no exception.</w:t>
      </w:r>
    </w:p>
    <w:p w14:paraId="29602DEA" w14:textId="522D680F" w:rsidR="003623AE" w:rsidRPr="00BF554C" w:rsidRDefault="003623AE" w:rsidP="00DC47F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3623AE" w:rsidRPr="00BF554C" w:rsidSect="0004202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5D83"/>
    <w:multiLevelType w:val="multilevel"/>
    <w:tmpl w:val="7F72D65E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E"/>
    <w:rsid w:val="0004202E"/>
    <w:rsid w:val="003623AE"/>
    <w:rsid w:val="005B1B71"/>
    <w:rsid w:val="00BF554C"/>
    <w:rsid w:val="00D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3F9C"/>
  <w15:docId w15:val="{2D9CF55D-2399-466F-BC1E-ADE3DDE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266" w:lineRule="auto"/>
      <w:ind w:firstLine="70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/QmGkD+C455kGnuDYeHpMwHMQ==">CgMxLjA4AHIhMUNXMk1fcy13TXRHTy1FbFFOX2phcEhhanJQQzItZHAx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2024-02-23T04:02:00Z</dcterms:created>
  <dcterms:modified xsi:type="dcterms:W3CDTF">2024-02-23T04:02:00Z</dcterms:modified>
</cp:coreProperties>
</file>