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757745C" w:rsidR="00ED0CCF" w:rsidRPr="000C6274" w:rsidRDefault="006F571B" w:rsidP="006F57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6274">
        <w:rPr>
          <w:rFonts w:ascii="Arial" w:hAnsi="Arial" w:cs="Arial"/>
          <w:b/>
          <w:color w:val="010000"/>
          <w:sz w:val="20"/>
        </w:rPr>
        <w:t xml:space="preserve">MML121021: Report on the share issue results under </w:t>
      </w:r>
      <w:r w:rsidR="000C6274" w:rsidRPr="000C6274">
        <w:rPr>
          <w:rFonts w:ascii="Arial" w:hAnsi="Arial" w:cs="Arial"/>
          <w:b/>
          <w:color w:val="010000"/>
          <w:sz w:val="20"/>
        </w:rPr>
        <w:t>ESOP</w:t>
      </w:r>
      <w:r w:rsidRPr="000C6274">
        <w:rPr>
          <w:rFonts w:ascii="Arial" w:hAnsi="Arial" w:cs="Arial"/>
          <w:b/>
          <w:color w:val="010000"/>
          <w:sz w:val="20"/>
        </w:rPr>
        <w:t xml:space="preserve"> 2023</w:t>
      </w:r>
    </w:p>
    <w:p w14:paraId="00000002" w14:textId="376BCB5A" w:rsidR="00ED0CCF" w:rsidRPr="000C6274" w:rsidRDefault="006F571B" w:rsidP="006F57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 xml:space="preserve">On February 20, 2024, Masan </w:t>
      </w:r>
      <w:proofErr w:type="spellStart"/>
      <w:r w:rsidRPr="000C6274">
        <w:rPr>
          <w:rFonts w:ascii="Arial" w:hAnsi="Arial" w:cs="Arial"/>
          <w:color w:val="010000"/>
          <w:sz w:val="20"/>
        </w:rPr>
        <w:t>Meatlife</w:t>
      </w:r>
      <w:proofErr w:type="spellEnd"/>
      <w:r w:rsidRPr="000C6274">
        <w:rPr>
          <w:rFonts w:ascii="Arial" w:hAnsi="Arial" w:cs="Arial"/>
          <w:color w:val="010000"/>
          <w:sz w:val="20"/>
        </w:rPr>
        <w:t xml:space="preserve"> JSC announced Report No. 08/MML-BCPH-ESOP23 on the share issue results under </w:t>
      </w:r>
      <w:r w:rsidR="000C6274" w:rsidRPr="000C6274">
        <w:rPr>
          <w:rFonts w:ascii="Arial" w:hAnsi="Arial" w:cs="Arial"/>
          <w:color w:val="010000"/>
          <w:sz w:val="20"/>
        </w:rPr>
        <w:t>ESOP</w:t>
      </w:r>
      <w:r w:rsidRPr="000C6274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4F22AFD1" w:rsidR="00ED0CCF" w:rsidRPr="000C6274" w:rsidRDefault="006F571B" w:rsidP="006F571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Issue plan</w:t>
      </w:r>
    </w:p>
    <w:p w14:paraId="00000004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 xml:space="preserve">Share name: Shares of Masan </w:t>
      </w:r>
      <w:proofErr w:type="spellStart"/>
      <w:r w:rsidRPr="000C6274">
        <w:rPr>
          <w:rFonts w:ascii="Arial" w:hAnsi="Arial" w:cs="Arial"/>
          <w:color w:val="010000"/>
          <w:sz w:val="20"/>
        </w:rPr>
        <w:t>Meatlife</w:t>
      </w:r>
      <w:proofErr w:type="spellEnd"/>
      <w:r w:rsidRPr="000C6274">
        <w:rPr>
          <w:rFonts w:ascii="Arial" w:hAnsi="Arial" w:cs="Arial"/>
          <w:color w:val="010000"/>
          <w:sz w:val="20"/>
        </w:rPr>
        <w:t xml:space="preserve"> JSC </w:t>
      </w:r>
    </w:p>
    <w:p w14:paraId="00000005" w14:textId="57EF0C66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 xml:space="preserve">Share type: </w:t>
      </w:r>
      <w:r w:rsidR="000C6274" w:rsidRPr="000C6274">
        <w:rPr>
          <w:rFonts w:ascii="Arial" w:hAnsi="Arial" w:cs="Arial"/>
          <w:color w:val="010000"/>
          <w:sz w:val="20"/>
        </w:rPr>
        <w:t>C</w:t>
      </w:r>
      <w:r w:rsidRPr="000C6274">
        <w:rPr>
          <w:rFonts w:ascii="Arial" w:hAnsi="Arial" w:cs="Arial"/>
          <w:color w:val="010000"/>
          <w:sz w:val="20"/>
        </w:rPr>
        <w:t>ommon share</w:t>
      </w:r>
    </w:p>
    <w:p w14:paraId="00000006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ED0CCF" w:rsidRPr="000C6274" w:rsidRDefault="006F571B" w:rsidP="006F5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Total number of issued shares: 327,132,940 shares.</w:t>
      </w:r>
    </w:p>
    <w:p w14:paraId="00000008" w14:textId="77777777" w:rsidR="00ED0CCF" w:rsidRPr="000C6274" w:rsidRDefault="006F571B" w:rsidP="006F5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outstanding shares: 327,132,940 shares.</w:t>
      </w:r>
    </w:p>
    <w:p w14:paraId="00000009" w14:textId="77777777" w:rsidR="00ED0CCF" w:rsidRPr="000C6274" w:rsidRDefault="006F571B" w:rsidP="006F5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shares expected to be issued: 561,474 shares, equivalent to 0.17% of the total number of outstanding shares.</w:t>
      </w:r>
    </w:p>
    <w:p w14:paraId="0000000B" w14:textId="26A1D19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 xml:space="preserve">Transfer restriction time: The entire number of shares issued under </w:t>
      </w:r>
      <w:r w:rsidR="000C6274" w:rsidRPr="000C6274">
        <w:rPr>
          <w:rFonts w:ascii="Arial" w:hAnsi="Arial" w:cs="Arial"/>
          <w:color w:val="010000"/>
          <w:sz w:val="20"/>
        </w:rPr>
        <w:t>EDDOP</w:t>
      </w:r>
      <w:r w:rsidR="00945BCB">
        <w:rPr>
          <w:rFonts w:ascii="Arial" w:hAnsi="Arial" w:cs="Arial"/>
          <w:color w:val="010000"/>
          <w:sz w:val="20"/>
        </w:rPr>
        <w:t xml:space="preserve"> will be restricted from </w:t>
      </w:r>
      <w:r w:rsidRPr="000C6274">
        <w:rPr>
          <w:rFonts w:ascii="Arial" w:hAnsi="Arial" w:cs="Arial"/>
          <w:color w:val="010000"/>
          <w:sz w:val="20"/>
        </w:rPr>
        <w:t>transfer within 01 year from the end of the issuance as prescribed in Decree 155/2020/ND-CP.</w:t>
      </w:r>
    </w:p>
    <w:p w14:paraId="0000000C" w14:textId="515A17F5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Issue price: VND 20,000/share.</w:t>
      </w:r>
    </w:p>
    <w:p w14:paraId="0000000D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Source of capital for the issuance (in case of issuing bonus shares to employees): Not applicable.</w:t>
      </w:r>
    </w:p>
    <w:p w14:paraId="0000000E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End date of the issuance: February 1</w:t>
      </w:r>
      <w:bookmarkStart w:id="0" w:name="_GoBack"/>
      <w:bookmarkEnd w:id="0"/>
      <w:r w:rsidRPr="000C6274">
        <w:rPr>
          <w:rFonts w:ascii="Arial" w:hAnsi="Arial" w:cs="Arial"/>
          <w:color w:val="010000"/>
          <w:sz w:val="20"/>
        </w:rPr>
        <w:t>9, 2024.</w:t>
      </w:r>
    </w:p>
    <w:p w14:paraId="0000000F" w14:textId="77777777" w:rsidR="00ED0CCF" w:rsidRPr="000C6274" w:rsidRDefault="006F571B" w:rsidP="006F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Expected date to transfer shares: Expected in February or March 2024.</w:t>
      </w:r>
    </w:p>
    <w:p w14:paraId="00000010" w14:textId="77777777" w:rsidR="00ED0CCF" w:rsidRPr="000C6274" w:rsidRDefault="006F571B" w:rsidP="006F571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Results of share issuance</w:t>
      </w:r>
    </w:p>
    <w:p w14:paraId="00000011" w14:textId="77777777" w:rsidR="00ED0CCF" w:rsidRPr="000C6274" w:rsidRDefault="006F571B" w:rsidP="006F5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C6274">
        <w:rPr>
          <w:rFonts w:ascii="Arial" w:hAnsi="Arial" w:cs="Arial"/>
          <w:color w:val="010000"/>
          <w:sz w:val="20"/>
        </w:rPr>
        <w:t>Number of distributed shares: 285,007 shares, equivalent to 50.76% of the total number of shares expected to be issued.</w:t>
      </w:r>
    </w:p>
    <w:p w14:paraId="00000012" w14:textId="77777777" w:rsidR="00ED0CCF" w:rsidRPr="000C6274" w:rsidRDefault="006F571B" w:rsidP="006F5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employees to receive shares: 21 employees.</w:t>
      </w:r>
    </w:p>
    <w:p w14:paraId="00000013" w14:textId="77777777" w:rsidR="00ED0CCF" w:rsidRPr="000C6274" w:rsidRDefault="006F571B" w:rsidP="006F5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Total number of shares after issuance (February 19, 2024): 327,417,947 shares, in which:</w:t>
      </w:r>
    </w:p>
    <w:p w14:paraId="00000014" w14:textId="77777777" w:rsidR="00ED0CCF" w:rsidRPr="000C6274" w:rsidRDefault="006F571B" w:rsidP="006F5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outstanding shares: 327,417,947 shares;</w:t>
      </w:r>
    </w:p>
    <w:p w14:paraId="00000015" w14:textId="77777777" w:rsidR="00ED0CCF" w:rsidRPr="000C6274" w:rsidRDefault="006F571B" w:rsidP="006F5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Number of treasury shares: 0 shares.</w:t>
      </w:r>
    </w:p>
    <w:p w14:paraId="00000016" w14:textId="77777777" w:rsidR="00ED0CCF" w:rsidRPr="000C6274" w:rsidRDefault="006F571B" w:rsidP="006F571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Attached documents</w:t>
      </w:r>
    </w:p>
    <w:p w14:paraId="00000017" w14:textId="77777777" w:rsidR="00ED0CCF" w:rsidRPr="000C6274" w:rsidRDefault="006F571B" w:rsidP="006F5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List of employees participating in the program; and</w:t>
      </w:r>
    </w:p>
    <w:p w14:paraId="00000018" w14:textId="77777777" w:rsidR="00ED0CCF" w:rsidRPr="000C6274" w:rsidRDefault="006F571B" w:rsidP="006F5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6274">
        <w:rPr>
          <w:rFonts w:ascii="Arial" w:hAnsi="Arial" w:cs="Arial"/>
          <w:color w:val="010000"/>
          <w:sz w:val="20"/>
        </w:rPr>
        <w:t>Written confirmation of the bank where the escrow account to receive the proceeds from the issuance was opened.</w:t>
      </w:r>
    </w:p>
    <w:sectPr w:rsidR="00ED0CCF" w:rsidRPr="000C6274" w:rsidSect="00F21E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2FD"/>
    <w:multiLevelType w:val="multilevel"/>
    <w:tmpl w:val="A7DAE5D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946A66"/>
    <w:multiLevelType w:val="multilevel"/>
    <w:tmpl w:val="1C66FA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EE26DD"/>
    <w:multiLevelType w:val="multilevel"/>
    <w:tmpl w:val="5B74CC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39204F"/>
    <w:multiLevelType w:val="multilevel"/>
    <w:tmpl w:val="44C0FA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8B0E69"/>
    <w:multiLevelType w:val="multilevel"/>
    <w:tmpl w:val="295027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CF"/>
    <w:rsid w:val="000C6274"/>
    <w:rsid w:val="006F571B"/>
    <w:rsid w:val="00945BCB"/>
    <w:rsid w:val="00E45D3C"/>
    <w:rsid w:val="00ED0CCF"/>
    <w:rsid w:val="00F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14CB4"/>
  <w15:docId w15:val="{A1917184-8D07-490C-B81C-7C909793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05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79XfY2Ch+hW6zJyQd0cUFnpqCQ==">CgMxLjAyCGguZ2pkZ3hzOAByITFXTVBqRGZjYVlZT0dxeHdBcTVvUkc5OEcxYXZmMGsyaQ==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1357</Characters>
  <Application>Microsoft Office Word</Application>
  <DocSecurity>0</DocSecurity>
  <Lines>29</Lines>
  <Paragraphs>24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2024-02-22T06:43:00Z</dcterms:created>
  <dcterms:modified xsi:type="dcterms:W3CDTF">2024-02-23T07:11:00Z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f793c7a0d45ea6b3422fdd619b0afedfb29f2262ae995f6a1efb66d81e3b76f7</vt:lpwstr>
  </property>
</Properties>
</file>