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40A71" w:rsidRPr="000741ED" w:rsidRDefault="00BC630E" w:rsidP="00BC630E">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0741ED">
        <w:rPr>
          <w:rFonts w:ascii="Arial" w:hAnsi="Arial" w:cs="Arial"/>
          <w:b/>
          <w:color w:val="010000"/>
          <w:sz w:val="20"/>
        </w:rPr>
        <w:t>TOP: Board Resolution</w:t>
      </w:r>
    </w:p>
    <w:p w14:paraId="00000002" w14:textId="77777777" w:rsidR="00240A71" w:rsidRPr="000741ED" w:rsidRDefault="00BC630E" w:rsidP="00BC630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741ED">
        <w:rPr>
          <w:rFonts w:ascii="Arial" w:hAnsi="Arial" w:cs="Arial"/>
          <w:color w:val="010000"/>
          <w:sz w:val="20"/>
        </w:rPr>
        <w:t xml:space="preserve">On February 20, 2024, Top One </w:t>
      </w:r>
      <w:proofErr w:type="spellStart"/>
      <w:r w:rsidRPr="000741ED">
        <w:rPr>
          <w:rFonts w:ascii="Arial" w:hAnsi="Arial" w:cs="Arial"/>
          <w:color w:val="010000"/>
          <w:sz w:val="20"/>
        </w:rPr>
        <w:t>JSC</w:t>
      </w:r>
      <w:proofErr w:type="spellEnd"/>
      <w:r w:rsidRPr="000741ED">
        <w:rPr>
          <w:rFonts w:ascii="Arial" w:hAnsi="Arial" w:cs="Arial"/>
          <w:color w:val="010000"/>
          <w:sz w:val="20"/>
        </w:rPr>
        <w:t xml:space="preserve"> announced Resolution No. 01/2024/NQ-</w:t>
      </w:r>
      <w:proofErr w:type="spellStart"/>
      <w:r w:rsidRPr="000741ED">
        <w:rPr>
          <w:rFonts w:ascii="Arial" w:hAnsi="Arial" w:cs="Arial"/>
          <w:color w:val="010000"/>
          <w:sz w:val="20"/>
        </w:rPr>
        <w:t>HDQT</w:t>
      </w:r>
      <w:proofErr w:type="spellEnd"/>
      <w:r w:rsidRPr="000741ED">
        <w:rPr>
          <w:rFonts w:ascii="Arial" w:hAnsi="Arial" w:cs="Arial"/>
          <w:color w:val="010000"/>
          <w:sz w:val="20"/>
        </w:rPr>
        <w:t>/TOP on the program and content of the General Meeting of Shareholders and the recorded venue for the Annual General Meeting of Shareholders 2024 as follows:</w:t>
      </w:r>
    </w:p>
    <w:p w14:paraId="00000003" w14:textId="44B4BFB7" w:rsidR="00240A71" w:rsidRPr="000741ED" w:rsidRDefault="00BC630E" w:rsidP="00BC630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741ED">
        <w:rPr>
          <w:rFonts w:ascii="Arial" w:hAnsi="Arial" w:cs="Arial"/>
          <w:color w:val="010000"/>
          <w:sz w:val="20"/>
        </w:rPr>
        <w:t xml:space="preserve">‎‎Article 1. Approve the </w:t>
      </w:r>
      <w:r w:rsidR="000741ED" w:rsidRPr="000741ED">
        <w:rPr>
          <w:rFonts w:ascii="Arial" w:hAnsi="Arial" w:cs="Arial"/>
          <w:color w:val="010000"/>
          <w:sz w:val="20"/>
        </w:rPr>
        <w:t>agenda</w:t>
      </w:r>
      <w:r w:rsidRPr="000741ED">
        <w:rPr>
          <w:rFonts w:ascii="Arial" w:hAnsi="Arial" w:cs="Arial"/>
          <w:color w:val="010000"/>
          <w:sz w:val="20"/>
        </w:rPr>
        <w:t xml:space="preserve"> and content of the </w:t>
      </w:r>
      <w:r w:rsidR="000741ED" w:rsidRPr="000741ED">
        <w:rPr>
          <w:rFonts w:ascii="Arial" w:hAnsi="Arial" w:cs="Arial"/>
          <w:color w:val="010000"/>
          <w:sz w:val="20"/>
        </w:rPr>
        <w:t xml:space="preserve">Annual </w:t>
      </w:r>
      <w:r w:rsidRPr="000741ED">
        <w:rPr>
          <w:rFonts w:ascii="Arial" w:hAnsi="Arial" w:cs="Arial"/>
          <w:color w:val="010000"/>
          <w:sz w:val="20"/>
        </w:rPr>
        <w:t>General Meeting of Shareholders 2024, including:</w:t>
      </w:r>
    </w:p>
    <w:p w14:paraId="00000004" w14:textId="77777777"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Approve the Report of the Board of Management; Report of the Board of Directors in 2023;</w:t>
      </w:r>
    </w:p>
    <w:p w14:paraId="00000005" w14:textId="77777777"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Approve the Financial Statements for the fiscal year 2023;</w:t>
      </w:r>
    </w:p>
    <w:p w14:paraId="00000006" w14:textId="77777777"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Approve the plan on profit distribution and dividend payment in 2023;</w:t>
      </w:r>
    </w:p>
    <w:p w14:paraId="00000007" w14:textId="77777777"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Approve the production and business plan and the plan on profit and dividend in 2024;</w:t>
      </w:r>
    </w:p>
    <w:p w14:paraId="00000008" w14:textId="652B9D08"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 xml:space="preserve">Approve the selection of </w:t>
      </w:r>
      <w:r w:rsidR="000741ED" w:rsidRPr="000741ED">
        <w:rPr>
          <w:rFonts w:ascii="Arial" w:hAnsi="Arial" w:cs="Arial"/>
          <w:color w:val="010000"/>
          <w:sz w:val="20"/>
        </w:rPr>
        <w:t xml:space="preserve">an </w:t>
      </w:r>
      <w:r w:rsidRPr="000741ED">
        <w:rPr>
          <w:rFonts w:ascii="Arial" w:hAnsi="Arial" w:cs="Arial"/>
          <w:color w:val="010000"/>
          <w:sz w:val="20"/>
        </w:rPr>
        <w:t>audit company for the Annual Financial Statements;</w:t>
      </w:r>
    </w:p>
    <w:p w14:paraId="00000009" w14:textId="5294A562" w:rsidR="00240A71" w:rsidRPr="000741ED" w:rsidRDefault="00BC630E" w:rsidP="000741ED">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 xml:space="preserve">Approve the remuneration for the Board of Directors, the Audit Committee, the </w:t>
      </w:r>
      <w:r w:rsidR="000741ED" w:rsidRPr="000741ED">
        <w:rPr>
          <w:rFonts w:ascii="Arial" w:hAnsi="Arial" w:cs="Arial"/>
          <w:color w:val="010000"/>
          <w:sz w:val="20"/>
        </w:rPr>
        <w:t xml:space="preserve">Person in charge of corporate governance </w:t>
      </w:r>
      <w:r w:rsidRPr="000741ED">
        <w:rPr>
          <w:rFonts w:ascii="Arial" w:hAnsi="Arial" w:cs="Arial"/>
          <w:color w:val="010000"/>
          <w:sz w:val="20"/>
        </w:rPr>
        <w:t>and the Company</w:t>
      </w:r>
      <w:r w:rsidR="000741ED" w:rsidRPr="000741ED">
        <w:rPr>
          <w:rFonts w:ascii="Arial" w:hAnsi="Arial" w:cs="Arial"/>
          <w:color w:val="010000"/>
          <w:sz w:val="20"/>
        </w:rPr>
        <w:t>’s</w:t>
      </w:r>
      <w:r w:rsidRPr="000741ED">
        <w:rPr>
          <w:rFonts w:ascii="Arial" w:hAnsi="Arial" w:cs="Arial"/>
          <w:color w:val="010000"/>
          <w:sz w:val="20"/>
        </w:rPr>
        <w:t xml:space="preserve"> Secretariat;</w:t>
      </w:r>
    </w:p>
    <w:p w14:paraId="0000000A" w14:textId="77777777"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Other issues under the authority of the General Meeting of Shareholders.</w:t>
      </w:r>
    </w:p>
    <w:p w14:paraId="0000000B" w14:textId="77777777" w:rsidR="00240A71" w:rsidRPr="000741ED" w:rsidRDefault="00BC630E" w:rsidP="00BC630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741ED">
        <w:rPr>
          <w:rFonts w:ascii="Arial" w:hAnsi="Arial" w:cs="Arial"/>
          <w:color w:val="010000"/>
          <w:sz w:val="20"/>
        </w:rPr>
        <w:t>‎‎Article 2. Approve recording the venue to organize the Annual General Meeting of Shareholders 2024:</w:t>
      </w:r>
    </w:p>
    <w:p w14:paraId="0000000C" w14:textId="1BD12936"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Meeting time: Details will be announced in the invitation</w:t>
      </w:r>
      <w:r w:rsidR="000741ED" w:rsidRPr="000741ED">
        <w:rPr>
          <w:rFonts w:ascii="Arial" w:hAnsi="Arial" w:cs="Arial"/>
          <w:color w:val="010000"/>
          <w:sz w:val="20"/>
        </w:rPr>
        <w:t xml:space="preserve"> letter</w:t>
      </w:r>
    </w:p>
    <w:p w14:paraId="0000000D" w14:textId="3EB9C6F1"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Venue: Details will be announced in the invitation</w:t>
      </w:r>
      <w:r w:rsidR="000741ED" w:rsidRPr="000741ED">
        <w:rPr>
          <w:rFonts w:ascii="Arial" w:hAnsi="Arial" w:cs="Arial"/>
          <w:color w:val="010000"/>
          <w:sz w:val="20"/>
        </w:rPr>
        <w:t xml:space="preserve"> letter</w:t>
      </w:r>
    </w:p>
    <w:p w14:paraId="0000000E" w14:textId="59BCCDA9"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Organization form: Details will be announced in the invitation</w:t>
      </w:r>
      <w:r w:rsidR="000741ED" w:rsidRPr="000741ED">
        <w:rPr>
          <w:rFonts w:ascii="Arial" w:hAnsi="Arial" w:cs="Arial"/>
          <w:color w:val="010000"/>
          <w:sz w:val="20"/>
        </w:rPr>
        <w:t xml:space="preserve"> letter</w:t>
      </w:r>
    </w:p>
    <w:p w14:paraId="0000000F" w14:textId="77777777" w:rsidR="00240A71" w:rsidRPr="000741ED" w:rsidRDefault="00BC630E" w:rsidP="00BC630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741ED">
        <w:rPr>
          <w:rFonts w:ascii="Arial" w:hAnsi="Arial" w:cs="Arial"/>
          <w:color w:val="010000"/>
          <w:sz w:val="20"/>
        </w:rPr>
        <w:t>Approve the time and form to organize the Annual General Meeting of Shareholders 2024 as follows:</w:t>
      </w:r>
    </w:p>
    <w:p w14:paraId="00000010" w14:textId="1E33A3A1" w:rsidR="00240A71" w:rsidRPr="000741ED" w:rsidRDefault="00BC630E" w:rsidP="00BC630E">
      <w:pPr>
        <w:numPr>
          <w:ilvl w:val="0"/>
          <w:numId w:val="2"/>
        </w:numPr>
        <w:pBdr>
          <w:top w:val="nil"/>
          <w:left w:val="nil"/>
          <w:bottom w:val="nil"/>
          <w:right w:val="nil"/>
          <w:between w:val="nil"/>
        </w:pBdr>
        <w:tabs>
          <w:tab w:val="left" w:pos="432"/>
          <w:tab w:val="left" w:pos="1726"/>
        </w:tabs>
        <w:spacing w:after="120" w:line="360" w:lineRule="auto"/>
        <w:rPr>
          <w:rFonts w:ascii="Arial" w:eastAsia="Arial" w:hAnsi="Arial" w:cs="Arial"/>
          <w:color w:val="010000"/>
          <w:sz w:val="20"/>
          <w:szCs w:val="20"/>
        </w:rPr>
      </w:pPr>
      <w:r w:rsidRPr="000741ED">
        <w:rPr>
          <w:rFonts w:ascii="Arial" w:hAnsi="Arial" w:cs="Arial"/>
          <w:color w:val="010000"/>
          <w:sz w:val="20"/>
        </w:rPr>
        <w:t>Time: Details will be announced in the invitation</w:t>
      </w:r>
      <w:r w:rsidR="000741ED" w:rsidRPr="000741ED">
        <w:rPr>
          <w:rFonts w:ascii="Arial" w:hAnsi="Arial" w:cs="Arial"/>
          <w:color w:val="010000"/>
          <w:sz w:val="20"/>
        </w:rPr>
        <w:t xml:space="preserve"> letter</w:t>
      </w:r>
    </w:p>
    <w:p w14:paraId="00000011" w14:textId="5A71719D" w:rsidR="00240A71" w:rsidRPr="000741ED" w:rsidRDefault="00BC630E" w:rsidP="00BC630E">
      <w:pPr>
        <w:numPr>
          <w:ilvl w:val="0"/>
          <w:numId w:val="2"/>
        </w:numPr>
        <w:pBdr>
          <w:top w:val="nil"/>
          <w:left w:val="nil"/>
          <w:bottom w:val="nil"/>
          <w:right w:val="nil"/>
          <w:between w:val="nil"/>
        </w:pBdr>
        <w:tabs>
          <w:tab w:val="left" w:pos="432"/>
          <w:tab w:val="left" w:pos="1760"/>
        </w:tabs>
        <w:spacing w:after="120" w:line="360" w:lineRule="auto"/>
        <w:rPr>
          <w:rFonts w:ascii="Arial" w:eastAsia="Arial" w:hAnsi="Arial" w:cs="Arial"/>
          <w:color w:val="010000"/>
          <w:sz w:val="20"/>
          <w:szCs w:val="20"/>
        </w:rPr>
      </w:pPr>
      <w:r w:rsidRPr="000741ED">
        <w:rPr>
          <w:rFonts w:ascii="Arial" w:hAnsi="Arial" w:cs="Arial"/>
          <w:color w:val="010000"/>
          <w:sz w:val="20"/>
        </w:rPr>
        <w:t>Venue: Details will be announced in the invitation</w:t>
      </w:r>
      <w:r w:rsidR="000741ED" w:rsidRPr="000741ED">
        <w:rPr>
          <w:rFonts w:ascii="Arial" w:hAnsi="Arial" w:cs="Arial"/>
          <w:color w:val="010000"/>
          <w:sz w:val="20"/>
        </w:rPr>
        <w:t xml:space="preserve"> letter</w:t>
      </w:r>
    </w:p>
    <w:p w14:paraId="00000012" w14:textId="2C0300C5" w:rsidR="00240A71" w:rsidRPr="000741ED" w:rsidRDefault="00BC630E" w:rsidP="00BC630E">
      <w:pPr>
        <w:numPr>
          <w:ilvl w:val="0"/>
          <w:numId w:val="2"/>
        </w:numPr>
        <w:pBdr>
          <w:top w:val="nil"/>
          <w:left w:val="nil"/>
          <w:bottom w:val="nil"/>
          <w:right w:val="nil"/>
          <w:between w:val="nil"/>
        </w:pBdr>
        <w:tabs>
          <w:tab w:val="left" w:pos="432"/>
          <w:tab w:val="left" w:pos="1760"/>
        </w:tabs>
        <w:spacing w:after="120" w:line="360" w:lineRule="auto"/>
        <w:rPr>
          <w:rFonts w:ascii="Arial" w:eastAsia="Arial" w:hAnsi="Arial" w:cs="Arial"/>
          <w:color w:val="010000"/>
          <w:sz w:val="20"/>
          <w:szCs w:val="20"/>
        </w:rPr>
      </w:pPr>
      <w:r w:rsidRPr="000741ED">
        <w:rPr>
          <w:rFonts w:ascii="Arial" w:hAnsi="Arial" w:cs="Arial"/>
          <w:color w:val="010000"/>
          <w:sz w:val="20"/>
        </w:rPr>
        <w:t>Organization form: Details will be announced in the invitation</w:t>
      </w:r>
      <w:r w:rsidR="000741ED" w:rsidRPr="000741ED">
        <w:rPr>
          <w:rFonts w:ascii="Arial" w:hAnsi="Arial" w:cs="Arial"/>
          <w:color w:val="010000"/>
          <w:sz w:val="20"/>
        </w:rPr>
        <w:t xml:space="preserve"> letter</w:t>
      </w:r>
    </w:p>
    <w:p w14:paraId="00000014" w14:textId="77777777" w:rsidR="00240A71" w:rsidRPr="000741ED" w:rsidRDefault="00BC630E" w:rsidP="00BC630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741ED">
        <w:rPr>
          <w:rFonts w:ascii="Arial" w:hAnsi="Arial" w:cs="Arial"/>
          <w:color w:val="010000"/>
          <w:sz w:val="20"/>
        </w:rPr>
        <w:t>‎‎Article 3. The Board of Directors approves assigning and authorizing the Chair of the Board of Directors to draft, supplement and adjust (if any) the Proposal to submit to the Annual General Meeting of Shareholders 2024 for approval according to the provisions of law.</w:t>
      </w:r>
    </w:p>
    <w:p w14:paraId="00000015" w14:textId="77777777" w:rsidR="00240A71" w:rsidRPr="000741ED" w:rsidRDefault="00BC630E" w:rsidP="00BC630E">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741ED">
        <w:rPr>
          <w:rFonts w:ascii="Arial" w:hAnsi="Arial" w:cs="Arial"/>
          <w:color w:val="010000"/>
          <w:sz w:val="20"/>
        </w:rPr>
        <w:t>‎‎Article 4. Terms of enforcement</w:t>
      </w:r>
    </w:p>
    <w:p w14:paraId="00000016" w14:textId="77777777" w:rsidR="00240A71" w:rsidRPr="000741ED" w:rsidRDefault="00BC630E"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This Resolution takes effect from the date of its signing.</w:t>
      </w:r>
    </w:p>
    <w:p w14:paraId="00000017" w14:textId="5B1C4537" w:rsidR="00240A71" w:rsidRPr="000741ED" w:rsidRDefault="000741ED" w:rsidP="00BC630E">
      <w:pPr>
        <w:numPr>
          <w:ilvl w:val="0"/>
          <w:numId w:val="1"/>
        </w:numPr>
        <w:pBdr>
          <w:top w:val="nil"/>
          <w:left w:val="nil"/>
          <w:bottom w:val="nil"/>
          <w:right w:val="nil"/>
          <w:between w:val="nil"/>
        </w:pBdr>
        <w:tabs>
          <w:tab w:val="left" w:pos="432"/>
          <w:tab w:val="left" w:pos="971"/>
        </w:tabs>
        <w:spacing w:after="120" w:line="360" w:lineRule="auto"/>
        <w:rPr>
          <w:rFonts w:ascii="Arial" w:eastAsia="Arial" w:hAnsi="Arial" w:cs="Arial"/>
          <w:color w:val="010000"/>
          <w:sz w:val="20"/>
          <w:szCs w:val="20"/>
        </w:rPr>
      </w:pPr>
      <w:r w:rsidRPr="000741ED">
        <w:rPr>
          <w:rFonts w:ascii="Arial" w:hAnsi="Arial" w:cs="Arial"/>
          <w:color w:val="010000"/>
          <w:sz w:val="20"/>
        </w:rPr>
        <w:t>The</w:t>
      </w:r>
      <w:r w:rsidR="00BC630E" w:rsidRPr="000741ED">
        <w:rPr>
          <w:rFonts w:ascii="Arial" w:hAnsi="Arial" w:cs="Arial"/>
          <w:color w:val="010000"/>
          <w:sz w:val="20"/>
        </w:rPr>
        <w:t xml:space="preserve"> Board of Directors, the Board of Management and relevant departments of Top One </w:t>
      </w:r>
      <w:proofErr w:type="spellStart"/>
      <w:r w:rsidR="00BC630E" w:rsidRPr="000741ED">
        <w:rPr>
          <w:rFonts w:ascii="Arial" w:hAnsi="Arial" w:cs="Arial"/>
          <w:color w:val="010000"/>
          <w:sz w:val="20"/>
        </w:rPr>
        <w:t>JSC</w:t>
      </w:r>
      <w:proofErr w:type="spellEnd"/>
      <w:r w:rsidR="00BC630E" w:rsidRPr="000741ED">
        <w:rPr>
          <w:rFonts w:ascii="Arial" w:hAnsi="Arial" w:cs="Arial"/>
          <w:color w:val="010000"/>
          <w:sz w:val="20"/>
        </w:rPr>
        <w:t xml:space="preserve"> are responsible for implementing this Resolution.</w:t>
      </w:r>
    </w:p>
    <w:sectPr w:rsidR="00240A71" w:rsidRPr="000741ED" w:rsidSect="00BC630E">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758D1"/>
    <w:multiLevelType w:val="multilevel"/>
    <w:tmpl w:val="3AE6D52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CF75FEF"/>
    <w:multiLevelType w:val="multilevel"/>
    <w:tmpl w:val="1B18BDC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71"/>
    <w:rsid w:val="000741ED"/>
    <w:rsid w:val="00240A71"/>
    <w:rsid w:val="00242100"/>
    <w:rsid w:val="00BC630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D1DE6"/>
  <w15:docId w15:val="{50ECA2CD-4ADC-44AA-AA9F-F3571F6C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strike w:val="0"/>
      <w:color w:val="803032"/>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803032"/>
      <w:sz w:val="19"/>
      <w:szCs w:val="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803032"/>
      <w:sz w:val="26"/>
      <w:szCs w:val="26"/>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mallCaps/>
      <w:color w:val="803032"/>
      <w:sz w:val="28"/>
      <w:szCs w:val="28"/>
    </w:rPr>
  </w:style>
  <w:style w:type="paragraph" w:customStyle="1" w:styleId="Tiu20">
    <w:name w:val="Tiêu đề #2"/>
    <w:basedOn w:val="Normal"/>
    <w:link w:val="Tiu2"/>
    <w:pPr>
      <w:spacing w:line="245" w:lineRule="auto"/>
      <w:ind w:left="2740"/>
      <w:outlineLvl w:val="1"/>
    </w:pPr>
    <w:rPr>
      <w:rFonts w:ascii="Times New Roman" w:eastAsia="Times New Roman" w:hAnsi="Times New Roman" w:cs="Times New Roman"/>
      <w:b/>
      <w:bCs/>
    </w:rPr>
  </w:style>
  <w:style w:type="paragraph" w:customStyle="1" w:styleId="Vnbnnidung30">
    <w:name w:val="Văn bản nội dung (3)"/>
    <w:basedOn w:val="Normal"/>
    <w:link w:val="Vnbnnidung3"/>
    <w:pPr>
      <w:spacing w:line="202" w:lineRule="auto"/>
    </w:pPr>
    <w:rPr>
      <w:rFonts w:ascii="Arial" w:eastAsia="Arial" w:hAnsi="Arial" w:cs="Arial"/>
      <w:color w:val="803032"/>
      <w:sz w:val="19"/>
      <w:szCs w:val="19"/>
    </w:rPr>
  </w:style>
  <w:style w:type="paragraph" w:customStyle="1" w:styleId="Tiu10">
    <w:name w:val="Tiêu đề #1"/>
    <w:basedOn w:val="Normal"/>
    <w:link w:val="Tiu1"/>
    <w:pPr>
      <w:outlineLvl w:val="0"/>
    </w:pPr>
    <w:rPr>
      <w:rFonts w:ascii="Times New Roman" w:eastAsia="Times New Roman" w:hAnsi="Times New Roman" w:cs="Times New Roman"/>
      <w:b/>
      <w:bCs/>
      <w:color w:val="803032"/>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YGdgdkPAqmI34uv1QIBp/5y9FQ==">CgMxLjA4AHIhMWZHSDVJTm9pSTd1bUluMVB4SXJrNWE5bW9qbUphUjNy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Thu Giang</dc:creator>
  <cp:lastModifiedBy>Nguyen Thi Thu Giang</cp:lastModifiedBy>
  <cp:revision>2</cp:revision>
  <dcterms:created xsi:type="dcterms:W3CDTF">2024-02-23T04:32:00Z</dcterms:created>
  <dcterms:modified xsi:type="dcterms:W3CDTF">2024-02-23T04:32:00Z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aca47b8b105791437fe4ac99d9e7e8412badcd44b6d4152ad96436da0000a29a</vt:lpwstr>
  </property>
</Properties>
</file>