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43F5" w14:textId="77777777" w:rsidR="00525B1D" w:rsidRPr="0066264A" w:rsidRDefault="00A95B00" w:rsidP="000959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264A">
        <w:rPr>
          <w:rFonts w:ascii="Arial" w:hAnsi="Arial" w:cs="Arial"/>
          <w:b/>
          <w:color w:val="010000"/>
          <w:sz w:val="20"/>
        </w:rPr>
        <w:t>ACS: Annual Corporate Governance Report 2023</w:t>
      </w:r>
    </w:p>
    <w:p w14:paraId="250F072A" w14:textId="77777777" w:rsidR="00525B1D" w:rsidRPr="0066264A" w:rsidRDefault="00A95B00" w:rsidP="000959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On December 31, 2023, Architects &amp; Construction Service Corporation announced Report No. 3112A/BC-HDQT on the corporate governance situation in 2023 as follows:</w:t>
      </w:r>
    </w:p>
    <w:p w14:paraId="4C92A528" w14:textId="77777777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Name of company: Architects &amp; Construction Service Corporation</w:t>
      </w:r>
    </w:p>
    <w:p w14:paraId="30D6D3A3" w14:textId="596AA812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Head office address: 36 Ung Van </w:t>
      </w:r>
      <w:proofErr w:type="spellStart"/>
      <w:r w:rsidRPr="0066264A">
        <w:rPr>
          <w:rFonts w:ascii="Arial" w:hAnsi="Arial" w:cs="Arial"/>
          <w:color w:val="010000"/>
          <w:sz w:val="20"/>
        </w:rPr>
        <w:t>Khiem</w:t>
      </w:r>
      <w:proofErr w:type="spellEnd"/>
      <w:r w:rsidR="00095949">
        <w:rPr>
          <w:rFonts w:ascii="Arial" w:hAnsi="Arial" w:cs="Arial"/>
          <w:color w:val="010000"/>
          <w:sz w:val="20"/>
        </w:rPr>
        <w:t xml:space="preserve"> Road</w:t>
      </w:r>
      <w:r w:rsidRPr="0066264A">
        <w:rPr>
          <w:rFonts w:ascii="Arial" w:hAnsi="Arial" w:cs="Arial"/>
          <w:color w:val="010000"/>
          <w:sz w:val="20"/>
        </w:rPr>
        <w:t xml:space="preserve">, Ward 25, </w:t>
      </w:r>
      <w:proofErr w:type="spellStart"/>
      <w:r w:rsidRPr="0066264A">
        <w:rPr>
          <w:rFonts w:ascii="Arial" w:hAnsi="Arial" w:cs="Arial"/>
          <w:color w:val="010000"/>
          <w:sz w:val="20"/>
        </w:rPr>
        <w:t>Binh</w:t>
      </w:r>
      <w:proofErr w:type="spellEnd"/>
      <w:r w:rsidRPr="0066264A">
        <w:rPr>
          <w:rFonts w:ascii="Arial" w:hAnsi="Arial" w:cs="Arial"/>
          <w:color w:val="010000"/>
          <w:sz w:val="20"/>
        </w:rPr>
        <w:t xml:space="preserve"> Thanh District, Ho Chi Minh City.</w:t>
      </w:r>
    </w:p>
    <w:p w14:paraId="3C81E177" w14:textId="77777777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Tel: (028) 3899 4461 -38992710 Fax: (028) 3899 0246</w:t>
      </w:r>
    </w:p>
    <w:p w14:paraId="5DB3767C" w14:textId="77777777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Charter capital: VND 40,000,000,000</w:t>
      </w:r>
    </w:p>
    <w:p w14:paraId="48D54E3C" w14:textId="77777777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Securities code: ACS</w:t>
      </w:r>
    </w:p>
    <w:p w14:paraId="3A272FCF" w14:textId="4D537C3C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Corporate Governance Model: The </w:t>
      </w:r>
      <w:r w:rsidR="00095949">
        <w:rPr>
          <w:rFonts w:ascii="Arial" w:hAnsi="Arial" w:cs="Arial"/>
          <w:color w:val="010000"/>
          <w:sz w:val="20"/>
        </w:rPr>
        <w:t xml:space="preserve">General Meeting, </w:t>
      </w:r>
      <w:r w:rsidRPr="0066264A">
        <w:rPr>
          <w:rFonts w:ascii="Arial" w:hAnsi="Arial" w:cs="Arial"/>
          <w:color w:val="010000"/>
          <w:sz w:val="20"/>
        </w:rPr>
        <w:t>Board of Directors</w:t>
      </w:r>
      <w:r w:rsidR="00095949">
        <w:rPr>
          <w:rFonts w:ascii="Arial" w:hAnsi="Arial" w:cs="Arial"/>
          <w:color w:val="010000"/>
          <w:sz w:val="20"/>
        </w:rPr>
        <w:t>, Supervisory Board and</w:t>
      </w:r>
      <w:r w:rsidRPr="0066264A">
        <w:rPr>
          <w:rFonts w:ascii="Arial" w:hAnsi="Arial" w:cs="Arial"/>
          <w:color w:val="010000"/>
          <w:sz w:val="20"/>
        </w:rPr>
        <w:t xml:space="preserve"> 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>.</w:t>
      </w:r>
    </w:p>
    <w:p w14:paraId="0C61F424" w14:textId="7ABF977E" w:rsidR="00525B1D" w:rsidRPr="0066264A" w:rsidRDefault="00A95B00" w:rsidP="00095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Internal audit: Implemented.</w:t>
      </w:r>
    </w:p>
    <w:p w14:paraId="24DFB7AF" w14:textId="04A60A61" w:rsidR="00525B1D" w:rsidRPr="0066264A" w:rsidRDefault="00A95B00" w:rsidP="000959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Activities of the </w:t>
      </w:r>
      <w:r w:rsidR="00095949">
        <w:rPr>
          <w:rFonts w:ascii="Arial" w:hAnsi="Arial" w:cs="Arial"/>
          <w:color w:val="010000"/>
          <w:sz w:val="20"/>
        </w:rPr>
        <w:t>General Meeting</w:t>
      </w:r>
    </w:p>
    <w:p w14:paraId="35968DAA" w14:textId="2DE084BE" w:rsidR="00525B1D" w:rsidRPr="0066264A" w:rsidRDefault="00A95B00" w:rsidP="000959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Information about the meetings and General Mandate/Decisions of the </w:t>
      </w:r>
      <w:r w:rsidR="00095949">
        <w:rPr>
          <w:rFonts w:ascii="Arial" w:hAnsi="Arial" w:cs="Arial"/>
          <w:color w:val="010000"/>
          <w:sz w:val="20"/>
        </w:rPr>
        <w:t>General Meeting</w:t>
      </w:r>
      <w:r w:rsidRPr="0066264A">
        <w:rPr>
          <w:rFonts w:ascii="Arial" w:hAnsi="Arial" w:cs="Arial"/>
          <w:color w:val="010000"/>
          <w:sz w:val="20"/>
        </w:rPr>
        <w:t>.</w:t>
      </w:r>
    </w:p>
    <w:p w14:paraId="6BC58B78" w14:textId="5E7459D1" w:rsidR="00525B1D" w:rsidRPr="0066264A" w:rsidRDefault="00A95B00" w:rsidP="000959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Meeting Minute of the </w:t>
      </w:r>
      <w:r w:rsidR="00095949">
        <w:rPr>
          <w:rFonts w:ascii="Arial" w:hAnsi="Arial" w:cs="Arial"/>
          <w:color w:val="010000"/>
          <w:sz w:val="20"/>
        </w:rPr>
        <w:t>General Meeting</w:t>
      </w:r>
      <w:r w:rsidRPr="0066264A">
        <w:rPr>
          <w:rFonts w:ascii="Arial" w:hAnsi="Arial" w:cs="Arial"/>
          <w:color w:val="010000"/>
          <w:sz w:val="20"/>
        </w:rPr>
        <w:t xml:space="preserve"> No. 01/BBH-DHDCD.23 dated May 27, 2023.</w:t>
      </w:r>
    </w:p>
    <w:p w14:paraId="14847D32" w14:textId="77777777" w:rsidR="00525B1D" w:rsidRPr="0066264A" w:rsidRDefault="00A95B00" w:rsidP="000959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Annual General Mandate No. 01/NQ-DHDCD.23 dated May 27, 2023.</w:t>
      </w:r>
    </w:p>
    <w:p w14:paraId="39C3B1B8" w14:textId="12BE7874" w:rsidR="00525B1D" w:rsidRPr="0066264A" w:rsidRDefault="00A95B00" w:rsidP="000959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Board of Directors</w:t>
      </w:r>
    </w:p>
    <w:p w14:paraId="2385AF6B" w14:textId="77777777" w:rsidR="00525B1D" w:rsidRPr="0066264A" w:rsidRDefault="00A95B00" w:rsidP="00095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6"/>
        <w:tblW w:w="5000" w:type="pct"/>
        <w:tblLook w:val="0400" w:firstRow="0" w:lastRow="0" w:firstColumn="0" w:lastColumn="0" w:noHBand="0" w:noVBand="1"/>
      </w:tblPr>
      <w:tblGrid>
        <w:gridCol w:w="699"/>
        <w:gridCol w:w="2040"/>
        <w:gridCol w:w="2040"/>
        <w:gridCol w:w="2155"/>
        <w:gridCol w:w="2083"/>
      </w:tblGrid>
      <w:tr w:rsidR="00525B1D" w:rsidRPr="0066264A" w14:paraId="59BD91FC" w14:textId="77777777" w:rsidTr="0066264A"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A771F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BDF4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0A83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0E0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25B1D" w:rsidRPr="0066264A" w14:paraId="4C4072A3" w14:textId="77777777" w:rsidTr="0066264A"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644EA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EB315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8D996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1028B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749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25B1D" w:rsidRPr="0066264A" w14:paraId="379B9906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7AB06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CD58E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Dang Le Dung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D92DD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C0CF0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F646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0499D1C2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3A7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E04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Le Duc Nguyen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918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Permanent Vice Chair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E4E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EA28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7D4F39C2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10AF0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18930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Dinh Viet Duy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DB024" w14:textId="2320C3EC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Vice Chair of the Board of Directors -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EB0FD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D4B7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0F47BF5D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7BA0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59077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Nguyen Quang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1624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376F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27, 2023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88DF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3D57F580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84F91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lastRenderedPageBreak/>
              <w:t>05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420C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Le Van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A21B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C8F3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27, 2023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4F74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1C099C33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71F99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17B7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Vo Thanh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69402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CE97B8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443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27, 2023</w:t>
            </w:r>
          </w:p>
        </w:tc>
      </w:tr>
      <w:tr w:rsidR="00525B1D" w:rsidRPr="0066264A" w14:paraId="4918470F" w14:textId="77777777" w:rsidTr="0066264A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014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F0B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Dang Hong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8A98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D06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912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27, 2023</w:t>
            </w:r>
          </w:p>
        </w:tc>
      </w:tr>
    </w:tbl>
    <w:p w14:paraId="436AF0E0" w14:textId="77777777" w:rsidR="00525B1D" w:rsidRPr="0066264A" w:rsidRDefault="00A95B00" w:rsidP="006626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2. Board Resolutions/Board Decisions: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4"/>
        <w:gridCol w:w="1872"/>
        <w:gridCol w:w="1619"/>
        <w:gridCol w:w="4882"/>
      </w:tblGrid>
      <w:tr w:rsidR="00525B1D" w:rsidRPr="0066264A" w14:paraId="2CA5F7B0" w14:textId="77777777" w:rsidTr="00095949">
        <w:tc>
          <w:tcPr>
            <w:tcW w:w="357" w:type="pct"/>
            <w:shd w:val="clear" w:color="auto" w:fill="auto"/>
            <w:vAlign w:val="center"/>
          </w:tcPr>
          <w:p w14:paraId="78A7A6D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2B7EA9B" w14:textId="46AB8FCD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Boa</w:t>
            </w:r>
            <w:r w:rsidR="00095949"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4B0232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442AAFA" w14:textId="6CE2B701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25B1D" w:rsidRPr="0066264A" w14:paraId="5F25AB08" w14:textId="77777777" w:rsidTr="00095949">
        <w:tc>
          <w:tcPr>
            <w:tcW w:w="357" w:type="pct"/>
            <w:shd w:val="clear" w:color="auto" w:fill="auto"/>
            <w:vAlign w:val="center"/>
          </w:tcPr>
          <w:p w14:paraId="761BDD9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6120FE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F9D7F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4DF8CB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Receive transfer of property according to Certificate of Land Use Rights for residential purposes</w:t>
            </w:r>
          </w:p>
        </w:tc>
      </w:tr>
      <w:tr w:rsidR="00525B1D" w:rsidRPr="0066264A" w14:paraId="5EA9DFDD" w14:textId="77777777" w:rsidTr="00095949">
        <w:tc>
          <w:tcPr>
            <w:tcW w:w="357" w:type="pct"/>
            <w:shd w:val="clear" w:color="auto" w:fill="auto"/>
            <w:vAlign w:val="center"/>
          </w:tcPr>
          <w:p w14:paraId="431F435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167875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BBF346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February 08,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149FE3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Liquidate all shares in TNA Mechanical - Material - Construction Equipment Joint Stock Company</w:t>
            </w:r>
          </w:p>
        </w:tc>
      </w:tr>
      <w:tr w:rsidR="00525B1D" w:rsidRPr="0066264A" w14:paraId="4D3C9290" w14:textId="77777777" w:rsidTr="00095949">
        <w:tc>
          <w:tcPr>
            <w:tcW w:w="357" w:type="pct"/>
            <w:shd w:val="clear" w:color="auto" w:fill="auto"/>
            <w:vAlign w:val="center"/>
          </w:tcPr>
          <w:p w14:paraId="35FE0C5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6E2CEE8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C87BD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February 17,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24431F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Review company-wide cost and personnel issues</w:t>
            </w:r>
          </w:p>
        </w:tc>
      </w:tr>
      <w:tr w:rsidR="00525B1D" w:rsidRPr="0066264A" w14:paraId="4D2B68CD" w14:textId="77777777" w:rsidTr="00095949">
        <w:tc>
          <w:tcPr>
            <w:tcW w:w="357" w:type="pct"/>
            <w:shd w:val="clear" w:color="auto" w:fill="auto"/>
            <w:vAlign w:val="center"/>
          </w:tcPr>
          <w:p w14:paraId="27CF780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D3B821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EFADAB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8A56BF6" w14:textId="01D14C69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On the recorded list of shareholders attending the Annual </w:t>
            </w:r>
            <w:r w:rsidR="0009594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25B1D" w:rsidRPr="0066264A" w14:paraId="7BF88EC4" w14:textId="77777777" w:rsidTr="00095949">
        <w:tc>
          <w:tcPr>
            <w:tcW w:w="357" w:type="pct"/>
            <w:shd w:val="clear" w:color="auto" w:fill="auto"/>
            <w:vAlign w:val="center"/>
          </w:tcPr>
          <w:p w14:paraId="15604F4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ACEF3B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069B7C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2BB715B" w14:textId="51A3389C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On the timing of the organization of the Annual </w:t>
            </w:r>
            <w:r w:rsidR="0009594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25B1D" w:rsidRPr="0066264A" w14:paraId="2D4FD40F" w14:textId="77777777" w:rsidTr="00095949">
        <w:tc>
          <w:tcPr>
            <w:tcW w:w="357" w:type="pct"/>
            <w:shd w:val="clear" w:color="auto" w:fill="auto"/>
            <w:vAlign w:val="center"/>
          </w:tcPr>
          <w:p w14:paraId="0989E5D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A42836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06/2023/NQ-HDQT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4B8DA2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295865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Liquidate company car assets</w:t>
            </w:r>
          </w:p>
        </w:tc>
      </w:tr>
      <w:tr w:rsidR="00525B1D" w:rsidRPr="0066264A" w14:paraId="776FAB5E" w14:textId="77777777" w:rsidTr="00095949">
        <w:tc>
          <w:tcPr>
            <w:tcW w:w="357" w:type="pct"/>
            <w:shd w:val="clear" w:color="auto" w:fill="auto"/>
            <w:vAlign w:val="center"/>
          </w:tcPr>
          <w:p w14:paraId="6A87011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842A22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07/2023/NQ-HDQT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F54A71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D9AD1C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Compile a list of nominated candidates, additional nominees for the Board of Directors of Architects &amp; Construction Service Corporation for the term 2020-2025</w:t>
            </w:r>
          </w:p>
        </w:tc>
      </w:tr>
      <w:tr w:rsidR="00525B1D" w:rsidRPr="0066264A" w14:paraId="7AEDDF75" w14:textId="77777777" w:rsidTr="00095949">
        <w:tc>
          <w:tcPr>
            <w:tcW w:w="357" w:type="pct"/>
            <w:shd w:val="clear" w:color="auto" w:fill="auto"/>
            <w:vAlign w:val="center"/>
          </w:tcPr>
          <w:p w14:paraId="120E25B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3C8CA8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90F2F2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23,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68FEFC3" w14:textId="339A7173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Agree on Mr. Vo Thanh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to resign from the position of permanent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,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 in charge of finance and economics from May 31, 2023</w:t>
            </w:r>
          </w:p>
        </w:tc>
      </w:tr>
      <w:tr w:rsidR="00525B1D" w:rsidRPr="0066264A" w14:paraId="34B3BDE0" w14:textId="77777777" w:rsidTr="00095949">
        <w:tc>
          <w:tcPr>
            <w:tcW w:w="357" w:type="pct"/>
            <w:shd w:val="clear" w:color="auto" w:fill="auto"/>
            <w:vAlign w:val="center"/>
          </w:tcPr>
          <w:p w14:paraId="12A2809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F2D03A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09/2023/NQ-HDQT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F1870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8D66A2A" w14:textId="428FB3B6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Mr. Dinh Viet Duy - Deputy Chair of the Board of Directors /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 in charge of Project Development Block and directly manage the operation of the Project Development Department.</w:t>
            </w:r>
          </w:p>
        </w:tc>
      </w:tr>
      <w:tr w:rsidR="00525B1D" w:rsidRPr="0066264A" w14:paraId="6A1AC077" w14:textId="77777777" w:rsidTr="00095949">
        <w:tc>
          <w:tcPr>
            <w:tcW w:w="357" w:type="pct"/>
            <w:shd w:val="clear" w:color="auto" w:fill="auto"/>
            <w:vAlign w:val="center"/>
          </w:tcPr>
          <w:p w14:paraId="6E88147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584F34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10/2023/NQ-HDQT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87544C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August 30,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5DD693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Agree on merging the Project Development Block and the Technical Block into the Technical - Project Block from September 01, 2023</w:t>
            </w:r>
          </w:p>
        </w:tc>
      </w:tr>
      <w:tr w:rsidR="00525B1D" w:rsidRPr="0066264A" w14:paraId="6AE5AE08" w14:textId="77777777" w:rsidTr="00095949">
        <w:tc>
          <w:tcPr>
            <w:tcW w:w="357" w:type="pct"/>
            <w:shd w:val="clear" w:color="auto" w:fill="auto"/>
            <w:vAlign w:val="center"/>
          </w:tcPr>
          <w:p w14:paraId="1F5692B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74819A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11/2023/NQ-HDQT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0CEFF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F5E9777" w14:textId="5505CEEA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Agree on Mr. Dang Hong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to resign as desired and cease to hold the position of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6264A">
              <w:rPr>
                <w:rFonts w:ascii="Arial" w:hAnsi="Arial" w:cs="Arial"/>
                <w:color w:val="010000"/>
                <w:sz w:val="20"/>
              </w:rPr>
              <w:t xml:space="preserve"> from September 15, 2023</w:t>
            </w:r>
          </w:p>
        </w:tc>
      </w:tr>
    </w:tbl>
    <w:p w14:paraId="08526837" w14:textId="25E339C9" w:rsidR="00525B1D" w:rsidRPr="0066264A" w:rsidRDefault="00A95B00" w:rsidP="0066264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Supervisory Board;</w:t>
      </w:r>
    </w:p>
    <w:p w14:paraId="5C74AA78" w14:textId="77777777" w:rsidR="00525B1D" w:rsidRPr="0066264A" w:rsidRDefault="00A95B00" w:rsidP="0066264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1. Information about members of the Supervisory Board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4"/>
        <w:gridCol w:w="2561"/>
        <w:gridCol w:w="1800"/>
        <w:gridCol w:w="2009"/>
        <w:gridCol w:w="1973"/>
      </w:tblGrid>
      <w:tr w:rsidR="00525B1D" w:rsidRPr="0066264A" w14:paraId="35EC1237" w14:textId="77777777" w:rsidTr="008B5ED2">
        <w:tc>
          <w:tcPr>
            <w:tcW w:w="374" w:type="pct"/>
            <w:shd w:val="clear" w:color="auto" w:fill="auto"/>
            <w:vAlign w:val="center"/>
          </w:tcPr>
          <w:p w14:paraId="02BCA90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AADD09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9289A5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5B59F6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3B1C55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25B1D" w:rsidRPr="0066264A" w14:paraId="167CFCE3" w14:textId="77777777" w:rsidTr="008B5ED2">
        <w:tc>
          <w:tcPr>
            <w:tcW w:w="374" w:type="pct"/>
            <w:shd w:val="clear" w:color="auto" w:fill="auto"/>
            <w:vAlign w:val="center"/>
          </w:tcPr>
          <w:p w14:paraId="3C8394A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EE9DDB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Truong Thi Thuy Hang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CEBD80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ECA510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292D83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25B1D" w:rsidRPr="0066264A" w14:paraId="211C849B" w14:textId="77777777" w:rsidTr="008B5ED2">
        <w:tc>
          <w:tcPr>
            <w:tcW w:w="374" w:type="pct"/>
            <w:shd w:val="clear" w:color="auto" w:fill="auto"/>
            <w:vAlign w:val="center"/>
          </w:tcPr>
          <w:p w14:paraId="53FE5A9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FE55F2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Le Thi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Mong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Huyen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D80BD1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EE2748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July 18, 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09DCF09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25B1D" w:rsidRPr="0066264A" w14:paraId="05193FD9" w14:textId="77777777" w:rsidTr="008B5ED2">
        <w:tc>
          <w:tcPr>
            <w:tcW w:w="374" w:type="pct"/>
            <w:shd w:val="clear" w:color="auto" w:fill="auto"/>
            <w:vAlign w:val="center"/>
          </w:tcPr>
          <w:p w14:paraId="5E17FD3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959BE5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Mr. Dang Xuan Dung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2E89CA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0CF56B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October 09, 2021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D3F6BD8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34B31D68" w14:textId="18895C9C" w:rsidR="00525B1D" w:rsidRPr="0066264A" w:rsidRDefault="00A95B00" w:rsidP="006626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5"/>
        <w:gridCol w:w="2875"/>
        <w:gridCol w:w="1623"/>
        <w:gridCol w:w="9"/>
        <w:gridCol w:w="1736"/>
        <w:gridCol w:w="1999"/>
      </w:tblGrid>
      <w:tr w:rsidR="00525B1D" w:rsidRPr="0066264A" w14:paraId="71D0E748" w14:textId="77777777" w:rsidTr="0066264A">
        <w:tc>
          <w:tcPr>
            <w:tcW w:w="433" w:type="pct"/>
            <w:shd w:val="clear" w:color="auto" w:fill="auto"/>
            <w:vAlign w:val="center"/>
          </w:tcPr>
          <w:p w14:paraId="567BF3C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C42E5D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5D7841D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981F18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91B928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525B1D" w:rsidRPr="0066264A" w14:paraId="093153C0" w14:textId="77777777" w:rsidTr="0066264A">
        <w:tc>
          <w:tcPr>
            <w:tcW w:w="433" w:type="pct"/>
            <w:shd w:val="clear" w:color="auto" w:fill="auto"/>
            <w:vAlign w:val="center"/>
          </w:tcPr>
          <w:p w14:paraId="7645B5B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B59BB72" w14:textId="5815328D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Mr. Dinh Viet Duy -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6C78EFA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September 13, 1964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68E175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Construction engineer - Master of Project Management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422E17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Appointed on: July 22, 2020</w:t>
            </w:r>
          </w:p>
        </w:tc>
      </w:tr>
      <w:tr w:rsidR="00525B1D" w:rsidRPr="0066264A" w14:paraId="7D571395" w14:textId="77777777" w:rsidTr="0066264A">
        <w:tc>
          <w:tcPr>
            <w:tcW w:w="433" w:type="pct"/>
            <w:shd w:val="clear" w:color="auto" w:fill="auto"/>
            <w:vAlign w:val="center"/>
          </w:tcPr>
          <w:p w14:paraId="4466B05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287A6F0" w14:textId="1EEFA036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Mr. Pham Van Hung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Em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-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191C1AE8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October 26, 1982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641085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Electronic engineer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7E9546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Appointed on: December 02, 2019</w:t>
            </w:r>
          </w:p>
        </w:tc>
      </w:tr>
      <w:tr w:rsidR="00525B1D" w:rsidRPr="0066264A" w14:paraId="1899B4F3" w14:textId="77777777" w:rsidTr="0066264A">
        <w:tc>
          <w:tcPr>
            <w:tcW w:w="433" w:type="pct"/>
            <w:shd w:val="clear" w:color="auto" w:fill="auto"/>
            <w:vAlign w:val="center"/>
          </w:tcPr>
          <w:p w14:paraId="10972F1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2F772A2" w14:textId="1BAB81E4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Mr. Tran Van Lam -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39F5776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December 16, 1984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18F3BB3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Master - Construction Engineer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961D0F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Appointed on: March 15, 2021</w:t>
            </w:r>
          </w:p>
        </w:tc>
      </w:tr>
      <w:tr w:rsidR="00525B1D" w:rsidRPr="0066264A" w14:paraId="290EDEEC" w14:textId="77777777" w:rsidTr="0066264A">
        <w:tc>
          <w:tcPr>
            <w:tcW w:w="433" w:type="pct"/>
            <w:shd w:val="clear" w:color="auto" w:fill="auto"/>
            <w:vAlign w:val="center"/>
          </w:tcPr>
          <w:p w14:paraId="5BBF8A5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2C2BE9" w14:textId="0B53BED5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Le Duc Long -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5F9D7BD5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1984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37A493B0" w14:textId="6F03A8E8" w:rsidR="00525B1D" w:rsidRPr="0066264A" w:rsidRDefault="00095949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95B00" w:rsidRPr="0066264A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FC2A3B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Appointed on: September 15, 2022</w:t>
            </w:r>
          </w:p>
        </w:tc>
      </w:tr>
      <w:tr w:rsidR="00525B1D" w:rsidRPr="0066264A" w14:paraId="32F4F283" w14:textId="77777777" w:rsidTr="0066264A">
        <w:tc>
          <w:tcPr>
            <w:tcW w:w="433" w:type="pct"/>
            <w:shd w:val="clear" w:color="auto" w:fill="auto"/>
            <w:vAlign w:val="center"/>
          </w:tcPr>
          <w:p w14:paraId="3A8AD5DB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lastRenderedPageBreak/>
              <w:t>05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B3B0F64" w14:textId="15A362CD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Vo Thanh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-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23CA718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April 04, 1983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287322BD" w14:textId="4350F2A5" w:rsidR="00525B1D" w:rsidRPr="0066264A" w:rsidRDefault="00095949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95B00" w:rsidRPr="0066264A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408717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Dismissal date May 31, 2023</w:t>
            </w:r>
          </w:p>
        </w:tc>
      </w:tr>
      <w:tr w:rsidR="00525B1D" w:rsidRPr="0066264A" w14:paraId="0F3C4DB9" w14:textId="77777777" w:rsidTr="0066264A">
        <w:tc>
          <w:tcPr>
            <w:tcW w:w="433" w:type="pct"/>
            <w:shd w:val="clear" w:color="auto" w:fill="auto"/>
            <w:vAlign w:val="center"/>
          </w:tcPr>
          <w:p w14:paraId="7A086C18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027D320" w14:textId="26920BEB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Dang Hong </w:t>
            </w:r>
            <w:proofErr w:type="spellStart"/>
            <w:r w:rsidRPr="0066264A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66264A">
              <w:rPr>
                <w:rFonts w:ascii="Arial" w:hAnsi="Arial" w:cs="Arial"/>
                <w:color w:val="010000"/>
                <w:sz w:val="20"/>
              </w:rPr>
              <w:t xml:space="preserve"> - Deputy </w:t>
            </w:r>
            <w:r w:rsidR="0009594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02DB369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1977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2EC9E8AB" w14:textId="366278C3" w:rsidR="00525B1D" w:rsidRPr="0066264A" w:rsidRDefault="00095949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95B00" w:rsidRPr="0066264A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2EFA93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Dismissal date September 15, 2023</w:t>
            </w:r>
          </w:p>
        </w:tc>
      </w:tr>
    </w:tbl>
    <w:p w14:paraId="177E6D67" w14:textId="77777777" w:rsidR="00525B1D" w:rsidRPr="0066264A" w:rsidRDefault="00A95B00" w:rsidP="006626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20"/>
        <w:gridCol w:w="1885"/>
        <w:gridCol w:w="1928"/>
        <w:gridCol w:w="2184"/>
      </w:tblGrid>
      <w:tr w:rsidR="00525B1D" w:rsidRPr="0066264A" w14:paraId="1D238762" w14:textId="77777777" w:rsidTr="0066264A">
        <w:tc>
          <w:tcPr>
            <w:tcW w:w="1675" w:type="pct"/>
            <w:shd w:val="clear" w:color="auto" w:fill="auto"/>
            <w:vAlign w:val="center"/>
          </w:tcPr>
          <w:p w14:paraId="6837CEE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00A310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20734E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Qualification: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9856293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Appointment/dismissal date</w:t>
            </w:r>
          </w:p>
        </w:tc>
      </w:tr>
      <w:tr w:rsidR="00525B1D" w:rsidRPr="0066264A" w14:paraId="2E105A87" w14:textId="77777777" w:rsidTr="0066264A">
        <w:tc>
          <w:tcPr>
            <w:tcW w:w="1675" w:type="pct"/>
            <w:shd w:val="clear" w:color="auto" w:fill="auto"/>
            <w:vAlign w:val="center"/>
          </w:tcPr>
          <w:p w14:paraId="770D763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Ms. Nguyen Thi Tuyet Hong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A7E18D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April 24, 1979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28BD4B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96D07F7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Appointed on</w:t>
            </w:r>
          </w:p>
          <w:p w14:paraId="26D7562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January 15, 2020</w:t>
            </w:r>
          </w:p>
        </w:tc>
      </w:tr>
    </w:tbl>
    <w:p w14:paraId="446DB067" w14:textId="77777777" w:rsidR="00525B1D" w:rsidRPr="0066264A" w:rsidRDefault="00A95B00" w:rsidP="008B5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Training on corporate governance</w:t>
      </w:r>
    </w:p>
    <w:p w14:paraId="3F154492" w14:textId="0215226D" w:rsidR="00525B1D" w:rsidRPr="0066264A" w:rsidRDefault="00A95B00" w:rsidP="008B5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List of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public companies and transactions between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2DF4771F" w14:textId="54309A9C" w:rsidR="00525B1D" w:rsidRPr="0066264A" w:rsidRDefault="00A95B00" w:rsidP="008B5E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8B5ED2">
        <w:rPr>
          <w:rFonts w:ascii="Arial" w:hAnsi="Arial" w:cs="Arial"/>
          <w:color w:val="010000"/>
          <w:sz w:val="20"/>
        </w:rPr>
        <w:t xml:space="preserve">principal </w:t>
      </w:r>
      <w:r w:rsidRPr="0066264A">
        <w:rPr>
          <w:rFonts w:ascii="Arial" w:hAnsi="Arial" w:cs="Arial"/>
          <w:color w:val="010000"/>
          <w:sz w:val="20"/>
        </w:rPr>
        <w:t xml:space="preserve">shareholders, PDMR and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PDMR: None.</w:t>
      </w:r>
    </w:p>
    <w:p w14:paraId="168AB130" w14:textId="249D2C24" w:rsidR="00525B1D" w:rsidRPr="0066264A" w:rsidRDefault="00A95B00" w:rsidP="008B5E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PDMR and subsidiaries or companies controlled by the Company None.</w:t>
      </w:r>
    </w:p>
    <w:p w14:paraId="61BC3881" w14:textId="77777777" w:rsidR="00525B1D" w:rsidRPr="0066264A" w:rsidRDefault="00A95B00" w:rsidP="008B5E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Transactions between the Company and other entities/</w:t>
      </w:r>
    </w:p>
    <w:p w14:paraId="0CD0A44D" w14:textId="4FF02EB5" w:rsidR="00525B1D" w:rsidRPr="0066264A" w:rsidRDefault="00A95B00" w:rsidP="008B5ED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Transactions between the Company and companies where members of the Board of Directors, membe</w:t>
      </w:r>
      <w:r w:rsidR="008B5ED2">
        <w:rPr>
          <w:rFonts w:ascii="Arial" w:hAnsi="Arial" w:cs="Arial"/>
          <w:color w:val="010000"/>
          <w:sz w:val="20"/>
        </w:rPr>
        <w:t>rs of the Supervisory Board, Executive</w:t>
      </w:r>
      <w:r w:rsidRPr="0066264A">
        <w:rPr>
          <w:rFonts w:ascii="Arial" w:hAnsi="Arial" w:cs="Arial"/>
          <w:color w:val="010000"/>
          <w:sz w:val="20"/>
        </w:rPr>
        <w:t xml:space="preserve"> Manager (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8B5ED2">
        <w:rPr>
          <w:rFonts w:ascii="Arial" w:hAnsi="Arial" w:cs="Arial"/>
          <w:color w:val="010000"/>
          <w:sz w:val="20"/>
        </w:rPr>
        <w:t>s of the Board of Directors and</w:t>
      </w:r>
      <w:r w:rsidRPr="0066264A">
        <w:rPr>
          <w:rFonts w:ascii="Arial" w:hAnsi="Arial" w:cs="Arial"/>
          <w:color w:val="010000"/>
          <w:sz w:val="20"/>
        </w:rPr>
        <w:t xml:space="preserve"> Executive Manager (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8B5ED2">
        <w:rPr>
          <w:rFonts w:ascii="Arial" w:hAnsi="Arial" w:cs="Arial"/>
          <w:color w:val="010000"/>
          <w:sz w:val="20"/>
        </w:rPr>
        <w:t>date</w:t>
      </w:r>
      <w:r w:rsidRPr="0066264A">
        <w:rPr>
          <w:rFonts w:ascii="Arial" w:hAnsi="Arial" w:cs="Arial"/>
          <w:color w:val="010000"/>
          <w:sz w:val="20"/>
        </w:rPr>
        <w:t xml:space="preserve"> of reporting): None.</w:t>
      </w:r>
    </w:p>
    <w:p w14:paraId="3B3BE5FB" w14:textId="31A0FA58" w:rsidR="00525B1D" w:rsidRPr="0066264A" w:rsidRDefault="00A95B00" w:rsidP="008B5ED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Transactions between the Company and companies executed by the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people of members of the Board of Directors, membe</w:t>
      </w:r>
      <w:r w:rsidR="008B5ED2">
        <w:rPr>
          <w:rFonts w:ascii="Arial" w:hAnsi="Arial" w:cs="Arial"/>
          <w:color w:val="010000"/>
          <w:sz w:val="20"/>
        </w:rPr>
        <w:t>rs of the Supervisory Board, Executive Manager (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>) and other managers who are members of the Board of Direct</w:t>
      </w:r>
      <w:r w:rsidR="008B5ED2">
        <w:rPr>
          <w:rFonts w:ascii="Arial" w:hAnsi="Arial" w:cs="Arial"/>
          <w:color w:val="010000"/>
          <w:sz w:val="20"/>
        </w:rPr>
        <w:t>ors and Executive Manager (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>). None.</w:t>
      </w:r>
    </w:p>
    <w:p w14:paraId="03F29705" w14:textId="0E7FCD9C" w:rsidR="00525B1D" w:rsidRPr="0066264A" w:rsidRDefault="00A95B00" w:rsidP="008B5ED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Other transactions of the Company (if any) which can bring about material or non-material benefits to members of the Board of Directors, members of the Supervisory </w:t>
      </w:r>
      <w:r w:rsidR="008B5ED2">
        <w:rPr>
          <w:rFonts w:ascii="Arial" w:hAnsi="Arial" w:cs="Arial"/>
          <w:color w:val="010000"/>
          <w:sz w:val="20"/>
        </w:rPr>
        <w:t>Board, Executive</w:t>
      </w:r>
      <w:r w:rsidRPr="0066264A">
        <w:rPr>
          <w:rFonts w:ascii="Arial" w:hAnsi="Arial" w:cs="Arial"/>
          <w:color w:val="010000"/>
          <w:sz w:val="20"/>
        </w:rPr>
        <w:t xml:space="preserve"> Manager (</w:t>
      </w:r>
      <w:r w:rsidR="00095949">
        <w:rPr>
          <w:rFonts w:ascii="Arial" w:hAnsi="Arial" w:cs="Arial"/>
          <w:color w:val="010000"/>
          <w:sz w:val="20"/>
        </w:rPr>
        <w:t>Managing Director</w:t>
      </w:r>
      <w:r w:rsidRPr="0066264A">
        <w:rPr>
          <w:rFonts w:ascii="Arial" w:hAnsi="Arial" w:cs="Arial"/>
          <w:color w:val="010000"/>
          <w:sz w:val="20"/>
        </w:rPr>
        <w:t>) and other managers.</w:t>
      </w:r>
    </w:p>
    <w:p w14:paraId="0C983D36" w14:textId="66DFA77F" w:rsidR="00525B1D" w:rsidRPr="0066264A" w:rsidRDefault="00A95B00" w:rsidP="008B5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VIII. Share transactions of PDMR and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 of </w:t>
      </w:r>
      <w:proofErr w:type="gramStart"/>
      <w:r w:rsidRPr="0066264A">
        <w:rPr>
          <w:rFonts w:ascii="Arial" w:hAnsi="Arial" w:cs="Arial"/>
          <w:color w:val="010000"/>
          <w:sz w:val="20"/>
        </w:rPr>
        <w:t>PDMR:\</w:t>
      </w:r>
      <w:proofErr w:type="gramEnd"/>
    </w:p>
    <w:p w14:paraId="47710267" w14:textId="316ABDF4" w:rsidR="00525B1D" w:rsidRPr="0066264A" w:rsidRDefault="00A95B00" w:rsidP="008B5ED2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095949">
        <w:rPr>
          <w:rFonts w:ascii="Arial" w:hAnsi="Arial" w:cs="Arial"/>
          <w:color w:val="010000"/>
          <w:sz w:val="20"/>
        </w:rPr>
        <w:t>related</w:t>
      </w:r>
      <w:r w:rsidRPr="0066264A">
        <w:rPr>
          <w:rFonts w:ascii="Arial" w:hAnsi="Arial" w:cs="Arial"/>
          <w:color w:val="010000"/>
          <w:sz w:val="20"/>
        </w:rPr>
        <w:t xml:space="preserve"> persons:</w:t>
      </w:r>
    </w:p>
    <w:tbl>
      <w:tblPr>
        <w:tblStyle w:val="1"/>
        <w:tblW w:w="5000" w:type="pct"/>
        <w:tblLook w:val="0400" w:firstRow="0" w:lastRow="0" w:firstColumn="0" w:lastColumn="0" w:noHBand="0" w:noVBand="1"/>
      </w:tblPr>
      <w:tblGrid>
        <w:gridCol w:w="748"/>
        <w:gridCol w:w="1657"/>
        <w:gridCol w:w="864"/>
        <w:gridCol w:w="994"/>
        <w:gridCol w:w="1149"/>
        <w:gridCol w:w="1143"/>
        <w:gridCol w:w="844"/>
        <w:gridCol w:w="1618"/>
      </w:tblGrid>
      <w:tr w:rsidR="00525B1D" w:rsidRPr="0066264A" w14:paraId="76399FAF" w14:textId="77777777" w:rsidTr="0066264A"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7615B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AECD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C96CC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1EDC6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CB7A5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BC18" w14:textId="6FBAF9FD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Reasons for increase or decrease (buy, </w:t>
            </w:r>
            <w:r w:rsidRPr="0066264A">
              <w:rPr>
                <w:rFonts w:ascii="Arial" w:hAnsi="Arial" w:cs="Arial"/>
                <w:color w:val="010000"/>
                <w:sz w:val="20"/>
              </w:rPr>
              <w:lastRenderedPageBreak/>
              <w:t>sell, convert, reward,</w:t>
            </w:r>
            <w:r w:rsidR="0066264A" w:rsidRPr="0066264A">
              <w:rPr>
                <w:rFonts w:ascii="Arial" w:hAnsi="Arial" w:cs="Arial"/>
                <w:color w:val="010000"/>
                <w:sz w:val="20"/>
              </w:rPr>
              <w:t>.</w:t>
            </w:r>
            <w:r w:rsidRPr="0066264A">
              <w:rPr>
                <w:rFonts w:ascii="Arial" w:hAnsi="Arial" w:cs="Arial"/>
                <w:color w:val="010000"/>
                <w:sz w:val="20"/>
              </w:rPr>
              <w:t>..)</w:t>
            </w:r>
          </w:p>
        </w:tc>
      </w:tr>
      <w:tr w:rsidR="00525B1D" w:rsidRPr="0066264A" w14:paraId="043C8E7B" w14:textId="77777777" w:rsidTr="0066264A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FFAE8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395359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F5898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36A234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F95659" w14:textId="77777777" w:rsidR="00525B1D" w:rsidRPr="0066264A" w:rsidRDefault="00A95B00" w:rsidP="0066264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2435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D29A1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EFF6" w14:textId="77777777" w:rsidR="00525B1D" w:rsidRPr="0066264A" w:rsidRDefault="00525B1D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5B1D" w:rsidRPr="0066264A" w14:paraId="12B4CFA8" w14:textId="77777777" w:rsidTr="0066264A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BD8E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lastRenderedPageBreak/>
              <w:t>01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C542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Dang Le Dung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3231" w14:textId="77777777" w:rsidR="00525B1D" w:rsidRPr="0066264A" w:rsidRDefault="00525B1D" w:rsidP="0066264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6B00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611,000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B9BD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15.28%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603A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211,000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5F5F" w14:textId="77777777" w:rsidR="00525B1D" w:rsidRPr="0066264A" w:rsidRDefault="00A95B00" w:rsidP="006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>5.28%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923C" w14:textId="1235E8EF" w:rsidR="00525B1D" w:rsidRPr="0066264A" w:rsidRDefault="00A95B00" w:rsidP="008B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264A">
              <w:rPr>
                <w:rFonts w:ascii="Arial" w:hAnsi="Arial" w:cs="Arial"/>
                <w:color w:val="010000"/>
                <w:sz w:val="20"/>
              </w:rPr>
              <w:t xml:space="preserve">Decreased </w:t>
            </w:r>
            <w:r w:rsidR="008B5ED2">
              <w:rPr>
                <w:rFonts w:ascii="Arial" w:hAnsi="Arial" w:cs="Arial"/>
                <w:color w:val="010000"/>
                <w:sz w:val="20"/>
              </w:rPr>
              <w:t>out of</w:t>
            </w:r>
            <w:bookmarkStart w:id="0" w:name="_GoBack"/>
            <w:bookmarkEnd w:id="0"/>
            <w:r w:rsidRPr="0066264A">
              <w:rPr>
                <w:rFonts w:ascii="Arial" w:hAnsi="Arial" w:cs="Arial"/>
                <w:color w:val="010000"/>
                <w:sz w:val="20"/>
              </w:rPr>
              <w:t xml:space="preserve"> selling</w:t>
            </w:r>
          </w:p>
        </w:tc>
      </w:tr>
    </w:tbl>
    <w:p w14:paraId="3D8F1AED" w14:textId="77777777" w:rsidR="00525B1D" w:rsidRPr="0066264A" w:rsidRDefault="00A95B00" w:rsidP="006626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6264A">
        <w:rPr>
          <w:rFonts w:ascii="Arial" w:hAnsi="Arial" w:cs="Arial"/>
          <w:color w:val="010000"/>
          <w:sz w:val="20"/>
        </w:rPr>
        <w:t>IX. Other significant issues</w:t>
      </w:r>
    </w:p>
    <w:sectPr w:rsidR="00525B1D" w:rsidRPr="0066264A" w:rsidSect="0066264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52D"/>
    <w:multiLevelType w:val="multilevel"/>
    <w:tmpl w:val="BAF615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B07747"/>
    <w:multiLevelType w:val="multilevel"/>
    <w:tmpl w:val="E75A0C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B61"/>
    <w:multiLevelType w:val="multilevel"/>
    <w:tmpl w:val="708E85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3425119"/>
    <w:multiLevelType w:val="multilevel"/>
    <w:tmpl w:val="D88642E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87796F"/>
    <w:multiLevelType w:val="multilevel"/>
    <w:tmpl w:val="F9468C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B414FFC"/>
    <w:multiLevelType w:val="multilevel"/>
    <w:tmpl w:val="8682D0B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9D37F38"/>
    <w:multiLevelType w:val="multilevel"/>
    <w:tmpl w:val="9F8AEB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C3744C"/>
    <w:multiLevelType w:val="multilevel"/>
    <w:tmpl w:val="54DE28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75BE"/>
    <w:multiLevelType w:val="multilevel"/>
    <w:tmpl w:val="5B88F88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D"/>
    <w:rsid w:val="00095949"/>
    <w:rsid w:val="00525B1D"/>
    <w:rsid w:val="0066264A"/>
    <w:rsid w:val="008B5ED2"/>
    <w:rsid w:val="00A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F3137"/>
  <w15:docId w15:val="{98CF792D-D8C1-4B91-9ADD-DE900508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50">
    <w:name w:val="Heading #5_"/>
    <w:basedOn w:val="DefaultParagraphFont"/>
    <w:link w:val="Heading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hanging="1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35" w:lineRule="auto"/>
      <w:ind w:hanging="1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51">
    <w:name w:val="Heading #5"/>
    <w:basedOn w:val="Normal"/>
    <w:link w:val="Heading50"/>
    <w:pPr>
      <w:spacing w:line="305" w:lineRule="auto"/>
      <w:ind w:left="660" w:firstLine="2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1">
    <w:name w:val="Heading #4"/>
    <w:basedOn w:val="Normal"/>
    <w:link w:val="Heading40"/>
    <w:pPr>
      <w:spacing w:line="269" w:lineRule="auto"/>
      <w:ind w:left="550" w:hanging="58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z w:val="14"/>
      <w:szCs w:val="14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line="319" w:lineRule="auto"/>
    </w:pPr>
    <w:rPr>
      <w:rFonts w:ascii="Arial" w:eastAsia="Arial" w:hAnsi="Arial" w:cs="Arial"/>
      <w:sz w:val="17"/>
      <w:szCs w:val="17"/>
    </w:rPr>
  </w:style>
  <w:style w:type="paragraph" w:customStyle="1" w:styleId="Heading31">
    <w:name w:val="Heading #3"/>
    <w:basedOn w:val="Normal"/>
    <w:link w:val="Heading30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rcfPsyC7cJ8VENYxvidmKvjTg==">CgMxLjA4AHIhMV9MNXdHNW9JUUNtS3g4R3JUTV9jaEN4WnVSamFsZWdJ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Tuấn Anh Hoàng</dc:creator>
  <cp:lastModifiedBy>Nguyen Duc Quan</cp:lastModifiedBy>
  <cp:revision>2</cp:revision>
  <dcterms:created xsi:type="dcterms:W3CDTF">2024-02-26T10:26:00Z</dcterms:created>
  <dcterms:modified xsi:type="dcterms:W3CDTF">2024-02-26T10:26:00Z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2bb295ab1a318be697575526453978642247152ad243887a5e6b1c89f6075f0d</vt:lpwstr>
  </property>
</Properties>
</file>