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04D7" w:rsidRPr="00EF6677" w:rsidRDefault="00814A0F" w:rsidP="00BB76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F6677">
        <w:rPr>
          <w:rFonts w:ascii="Arial" w:hAnsi="Arial" w:cs="Arial"/>
          <w:b/>
          <w:color w:val="010000"/>
          <w:sz w:val="20"/>
        </w:rPr>
        <w:t>HNR: Board Resolution</w:t>
      </w:r>
    </w:p>
    <w:p w14:paraId="00000002" w14:textId="77777777" w:rsidR="009004D7" w:rsidRPr="00EF6677" w:rsidRDefault="00814A0F" w:rsidP="00BB76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6677">
        <w:rPr>
          <w:rFonts w:ascii="Arial" w:hAnsi="Arial" w:cs="Arial"/>
          <w:color w:val="010000"/>
          <w:sz w:val="20"/>
        </w:rPr>
        <w:t>On February 21, 2024, Hanoi Liquor and Beverage Joint Stock Company announced Resolution No. 02/NQ-HALICO-HDQT as follows:</w:t>
      </w:r>
    </w:p>
    <w:p w14:paraId="00000003" w14:textId="171BB58E" w:rsidR="009004D7" w:rsidRPr="00EF6677" w:rsidRDefault="00814A0F" w:rsidP="00BB76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6677">
        <w:rPr>
          <w:rFonts w:ascii="Arial" w:hAnsi="Arial" w:cs="Arial"/>
          <w:color w:val="010000"/>
          <w:sz w:val="20"/>
        </w:rPr>
        <w:t xml:space="preserve">‎‎Article 1. Approve the record date to make a list of shareholders entitled to attend the Annual General </w:t>
      </w:r>
      <w:r w:rsidR="00BB76E2">
        <w:rPr>
          <w:rFonts w:ascii="Arial" w:hAnsi="Arial" w:cs="Arial"/>
          <w:color w:val="010000"/>
          <w:sz w:val="20"/>
        </w:rPr>
        <w:t xml:space="preserve">Meeting </w:t>
      </w:r>
      <w:r w:rsidRPr="00EF6677">
        <w:rPr>
          <w:rFonts w:ascii="Arial" w:hAnsi="Arial" w:cs="Arial"/>
          <w:color w:val="010000"/>
          <w:sz w:val="20"/>
        </w:rPr>
        <w:t>2024 to be March 14, 2024.</w:t>
      </w:r>
    </w:p>
    <w:p w14:paraId="00000004" w14:textId="60A7AA34" w:rsidR="009004D7" w:rsidRPr="00EF6677" w:rsidRDefault="00814A0F" w:rsidP="00BB76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6677">
        <w:rPr>
          <w:rFonts w:ascii="Arial" w:hAnsi="Arial" w:cs="Arial"/>
          <w:color w:val="010000"/>
          <w:sz w:val="20"/>
        </w:rPr>
        <w:t>‎‎Article 2. Mem</w:t>
      </w:r>
      <w:r w:rsidR="00BB76E2">
        <w:rPr>
          <w:rFonts w:ascii="Arial" w:hAnsi="Arial" w:cs="Arial"/>
          <w:color w:val="010000"/>
          <w:sz w:val="20"/>
        </w:rPr>
        <w:t xml:space="preserve">bers of the Board of Directors and Executive Board, </w:t>
      </w:r>
      <w:bookmarkStart w:id="0" w:name="_GoBack"/>
      <w:bookmarkEnd w:id="0"/>
      <w:r w:rsidRPr="00EF6677">
        <w:rPr>
          <w:rFonts w:ascii="Arial" w:hAnsi="Arial" w:cs="Arial"/>
          <w:color w:val="010000"/>
          <w:sz w:val="20"/>
        </w:rPr>
        <w:t>Chief Accountant of the Company and Heads of relevant units are responsible for implementing this Resolution.</w:t>
      </w:r>
    </w:p>
    <w:sectPr w:rsidR="009004D7" w:rsidRPr="00EF6677" w:rsidSect="00814A0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D7"/>
    <w:rsid w:val="00814A0F"/>
    <w:rsid w:val="009004D7"/>
    <w:rsid w:val="00BB76E2"/>
    <w:rsid w:val="00E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12638"/>
  <w15:docId w15:val="{5CA6A974-280A-4033-85FD-019787C6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33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54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P+WvcVc0L+zj33pW6DK+KXTM4A==">CgMxLjA4AHIhMWtlYkM0d1ppUU9wQzV3cUJ2dE5sUEVIeEVwdm1UMXJR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2024-02-26T04:47:00Z</dcterms:created>
  <dcterms:modified xsi:type="dcterms:W3CDTF">2024-02-26T04:47:00Z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a7338f699b083d52be62e21da46eea276611ddb8ef23c8a4797b3f6ed171fd8b</vt:lpwstr>
  </property>
</Properties>
</file>