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A56F" w14:textId="77777777" w:rsidR="00586A0F" w:rsidRPr="00C070A7" w:rsidRDefault="00E071A4" w:rsidP="006868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70A7">
        <w:rPr>
          <w:rFonts w:ascii="Arial" w:hAnsi="Arial" w:cs="Arial"/>
          <w:b/>
          <w:color w:val="010000"/>
          <w:sz w:val="20"/>
        </w:rPr>
        <w:t>MVC: Annual Corporate Governance 2023</w:t>
      </w:r>
    </w:p>
    <w:p w14:paraId="18287688" w14:textId="77777777" w:rsidR="00586A0F" w:rsidRPr="00C070A7" w:rsidRDefault="00E071A4" w:rsidP="006868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On January 30, 2024,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 announced Report No. 02/MC-BCQT on the corporate governance 2023 as follows:</w:t>
      </w:r>
    </w:p>
    <w:p w14:paraId="635805C3" w14:textId="77777777" w:rsidR="00586A0F" w:rsidRPr="00C070A7" w:rsidRDefault="00E071A4" w:rsidP="006868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Name of listed company: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</w:t>
      </w:r>
    </w:p>
    <w:p w14:paraId="42E1F92F" w14:textId="295E38B3" w:rsidR="00586A0F" w:rsidRPr="00C070A7" w:rsidRDefault="00E071A4" w:rsidP="006868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9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Head office address: No. 306, DT743 Road,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Thang Ward, Di </w:t>
      </w:r>
      <w:proofErr w:type="gramStart"/>
      <w:r w:rsidRPr="00C070A7">
        <w:rPr>
          <w:rFonts w:ascii="Arial" w:hAnsi="Arial" w:cs="Arial"/>
          <w:color w:val="010000"/>
          <w:sz w:val="20"/>
        </w:rPr>
        <w:t>An</w:t>
      </w:r>
      <w:proofErr w:type="gramEnd"/>
      <w:r w:rsidRPr="00C070A7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Province</w:t>
      </w:r>
    </w:p>
    <w:p w14:paraId="722156C3" w14:textId="77777777" w:rsidR="00586A0F" w:rsidRPr="00C070A7" w:rsidRDefault="00E071A4" w:rsidP="006868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6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Tel: 0274 3751518; Fax: 0274 3751138; Email: </w:t>
      </w:r>
      <w:hyperlink r:id="rId6">
        <w:r w:rsidRPr="00C070A7">
          <w:rPr>
            <w:rFonts w:ascii="Arial" w:hAnsi="Arial" w:cs="Arial"/>
            <w:color w:val="010000"/>
            <w:sz w:val="20"/>
          </w:rPr>
          <w:t>mc@vlxdbd.com.vn</w:t>
        </w:r>
      </w:hyperlink>
    </w:p>
    <w:p w14:paraId="040A7D1E" w14:textId="77777777" w:rsidR="00586A0F" w:rsidRPr="00C070A7" w:rsidRDefault="00E071A4" w:rsidP="006868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Charter capital: VND 1,000,000,000,000</w:t>
      </w:r>
    </w:p>
    <w:p w14:paraId="216E8832" w14:textId="77777777" w:rsidR="00586A0F" w:rsidRPr="00C070A7" w:rsidRDefault="00E071A4" w:rsidP="006868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88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Securities code: MVC</w:t>
      </w:r>
    </w:p>
    <w:p w14:paraId="286BA4A8" w14:textId="08CCAC04" w:rsidR="00586A0F" w:rsidRPr="00C070A7" w:rsidRDefault="00E071A4" w:rsidP="006868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5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Activities of the </w:t>
      </w:r>
      <w:r w:rsidR="0068680B">
        <w:rPr>
          <w:rFonts w:ascii="Arial" w:hAnsi="Arial" w:cs="Arial"/>
          <w:color w:val="010000"/>
          <w:sz w:val="20"/>
        </w:rPr>
        <w:t>General Meeting</w:t>
      </w:r>
      <w:r w:rsidRPr="00C070A7">
        <w:rPr>
          <w:rFonts w:ascii="Arial" w:hAnsi="Arial" w:cs="Arial"/>
          <w:color w:val="010000"/>
          <w:sz w:val="20"/>
        </w:rPr>
        <w:t>:</w:t>
      </w:r>
    </w:p>
    <w:p w14:paraId="4498873D" w14:textId="19CC6125" w:rsidR="00586A0F" w:rsidRPr="00C070A7" w:rsidRDefault="00E071A4" w:rsidP="006868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68680B">
        <w:rPr>
          <w:rFonts w:ascii="Arial" w:hAnsi="Arial" w:cs="Arial"/>
          <w:color w:val="010000"/>
          <w:sz w:val="20"/>
        </w:rPr>
        <w:t>General Meeting</w:t>
      </w:r>
      <w:r w:rsidRPr="00C070A7">
        <w:rPr>
          <w:rFonts w:ascii="Arial" w:hAnsi="Arial" w:cs="Arial"/>
          <w:color w:val="010000"/>
          <w:sz w:val="20"/>
        </w:rPr>
        <w:t xml:space="preserve"> (including General Mandates approved by collecting </w:t>
      </w:r>
      <w:r w:rsidR="0068680B">
        <w:rPr>
          <w:rFonts w:ascii="Arial" w:hAnsi="Arial" w:cs="Arial"/>
          <w:color w:val="010000"/>
          <w:sz w:val="20"/>
        </w:rPr>
        <w:t>ballots)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60"/>
        <w:gridCol w:w="3617"/>
        <w:gridCol w:w="2339"/>
        <w:gridCol w:w="6433"/>
      </w:tblGrid>
      <w:tr w:rsidR="00586A0F" w:rsidRPr="00C070A7" w14:paraId="3A489FF8" w14:textId="77777777" w:rsidTr="00E071A4"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9109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D699C" w14:textId="09C45850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964D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E0D14" w14:textId="4C7CA9F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Content</w:t>
            </w:r>
            <w:r w:rsidR="0068680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86A0F" w:rsidRPr="00C070A7" w14:paraId="191765B2" w14:textId="77777777" w:rsidTr="00E071A4">
        <w:tc>
          <w:tcPr>
            <w:tcW w:w="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DAF8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4B8D8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01/DHDCD23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2423A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3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8170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31A51975" w14:textId="50BDD945" w:rsidR="00586A0F" w:rsidRPr="00C070A7" w:rsidRDefault="00E071A4" w:rsidP="00E071A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065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Board of Directors:</w:t>
      </w:r>
    </w:p>
    <w:p w14:paraId="25CE7566" w14:textId="77777777" w:rsidR="00586A0F" w:rsidRPr="00C070A7" w:rsidRDefault="00E071A4" w:rsidP="00E07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72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759"/>
        <w:gridCol w:w="4260"/>
        <w:gridCol w:w="3272"/>
        <w:gridCol w:w="3013"/>
        <w:gridCol w:w="2645"/>
      </w:tblGrid>
      <w:tr w:rsidR="00586A0F" w:rsidRPr="00C070A7" w14:paraId="06D8C6CB" w14:textId="77777777" w:rsidTr="00E071A4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A800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D77D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A2B2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Position (independent member/non-executive member of the Board of Director)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525D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86A0F" w:rsidRPr="00C070A7" w14:paraId="661DBD00" w14:textId="77777777" w:rsidTr="00E071A4"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F1850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4823E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53B72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663B8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C8BD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586A0F" w:rsidRPr="00C070A7" w14:paraId="3A8AD77F" w14:textId="77777777" w:rsidTr="00E071A4"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8999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A1C7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Mr. Doan Minh Quang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2C17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3FF8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E4145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11E207E1" w14:textId="77777777" w:rsidTr="00E071A4"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9FE6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1720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Mr. Trinh Ba Bo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09B2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Independent member of the Board of Directors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D503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2AD2B3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62B93903" w14:textId="77777777" w:rsidTr="00E071A4"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4F71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8EC1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Mr. Le Viet Chau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66FB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Member of the Board of Directors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9C51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B967E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03F0878C" w14:textId="77777777" w:rsidTr="00E071A4">
        <w:tc>
          <w:tcPr>
            <w:tcW w:w="2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D0EB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630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Mr. Nguyen Thanh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Nhan</w:t>
            </w:r>
            <w:proofErr w:type="spellEnd"/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2821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Member of the Board of Directors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6A7C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FE9FD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7A464849" w14:textId="77777777" w:rsidTr="00E071A4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CCA6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E4C6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Ms. Pham Kim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6DE78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Member of the Board of Directors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1788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9080A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55024DB" w14:textId="77777777" w:rsidR="00586A0F" w:rsidRPr="00C070A7" w:rsidRDefault="00E071A4" w:rsidP="00E071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Resolutions: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43"/>
        <w:gridCol w:w="2653"/>
        <w:gridCol w:w="1978"/>
        <w:gridCol w:w="8375"/>
      </w:tblGrid>
      <w:tr w:rsidR="00586A0F" w:rsidRPr="00C070A7" w14:paraId="6C0C32B0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2EE0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16D5C" w14:textId="3C02D374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1D49D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A5F09B" w14:textId="5376EAC5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Content</w:t>
            </w:r>
            <w:r w:rsidR="0068680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86A0F" w:rsidRPr="00C070A7" w14:paraId="7CD05F42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01759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9BC4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50/NQ-HDQT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820F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February 15,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5A0A3" w14:textId="4C0366DE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Approve the time, location, and record date for the Annual </w:t>
            </w:r>
            <w:r w:rsidR="0068680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070A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86A0F" w:rsidRPr="00C070A7" w14:paraId="2C8B171A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3633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1C86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51/NQ-HDQT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1598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46889" w14:textId="02A4EF28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Convert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Công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ty TNHH ICD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Lư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(tentatively translated as ICD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Lu Company Limited) from a LLC with two or more members to a single-member LLC owned by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Duong Building Materials &amp; Construction Corporation</w:t>
            </w:r>
          </w:p>
        </w:tc>
      </w:tr>
      <w:tr w:rsidR="00586A0F" w:rsidRPr="00C070A7" w14:paraId="32AA5051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2174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4395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52/NQ-HDQT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989B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March 24,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4FEA8" w14:textId="1CFD383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Approve the production and business plan for 2023 submitted to the Annual </w:t>
            </w:r>
            <w:r w:rsidR="0068680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070A7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86A0F" w:rsidRPr="00C070A7" w14:paraId="366AE927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D812B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391E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53/NQ-HDQT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25D48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May 12,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17CB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Agree to allow the Company to buy shares of Nui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Nho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Stone JSC to increase ownership rate</w:t>
            </w:r>
          </w:p>
        </w:tc>
      </w:tr>
      <w:tr w:rsidR="00586A0F" w:rsidRPr="00C070A7" w14:paraId="64167D95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F412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25F2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54/NQ-HDQT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98F6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July 25,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E036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Implement cash dividend payment in 2022 of 3% with payment date: September 15, 2023</w:t>
            </w:r>
          </w:p>
        </w:tc>
      </w:tr>
      <w:tr w:rsidR="00586A0F" w:rsidRPr="00C070A7" w14:paraId="57D5C5E8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CA92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2FA5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180/QD-SBH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AB10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60FB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Dismiss Mr. Nguyen Van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from being the Manager of the new city’s Branch</w:t>
            </w:r>
          </w:p>
        </w:tc>
      </w:tr>
      <w:tr w:rsidR="00586A0F" w:rsidRPr="00C070A7" w14:paraId="6D28A633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63AB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15E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181/QD-MC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C8C4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August 21,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DEEA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Appoint Ms. Pham Thi Thanh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Phung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as the Manager of the new city’s Branch</w:t>
            </w:r>
          </w:p>
        </w:tc>
      </w:tr>
      <w:tr w:rsidR="00586A0F" w:rsidRPr="00C070A7" w14:paraId="25E3DCB5" w14:textId="77777777" w:rsidTr="0068680B">
        <w:tc>
          <w:tcPr>
            <w:tcW w:w="3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CDB3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2A4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55/NQ-HDQT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D2EE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August 29, 2023</w:t>
            </w:r>
          </w:p>
        </w:tc>
        <w:tc>
          <w:tcPr>
            <w:tcW w:w="3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D1B7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Sign a contract with a related party,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Nhi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Hiep Brick - Tile Co-operation, as a distributor of construction stone and artificial sand products</w:t>
            </w:r>
          </w:p>
        </w:tc>
      </w:tr>
    </w:tbl>
    <w:p w14:paraId="3196C6E0" w14:textId="2DDB637F" w:rsidR="00586A0F" w:rsidRPr="00C070A7" w:rsidRDefault="00E071A4" w:rsidP="00E071A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Supervisory Board:</w:t>
      </w:r>
    </w:p>
    <w:p w14:paraId="00583EEB" w14:textId="77777777" w:rsidR="00586A0F" w:rsidRPr="00C070A7" w:rsidRDefault="00E071A4" w:rsidP="00E0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Information about members of the Supervisory Board: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705"/>
        <w:gridCol w:w="3791"/>
        <w:gridCol w:w="2112"/>
        <w:gridCol w:w="1984"/>
        <w:gridCol w:w="1825"/>
        <w:gridCol w:w="3532"/>
      </w:tblGrid>
      <w:tr w:rsidR="00586A0F" w:rsidRPr="00C070A7" w14:paraId="624C1F55" w14:textId="77777777" w:rsidTr="00E071A4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2720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E047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Member of the Supervisory Board/Audit </w:t>
            </w: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Committee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D08E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Position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AE24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Date of appointment/dismissal as member </w:t>
            </w: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of the Supervisory Board/Audit Committee</w:t>
            </w:r>
          </w:p>
        </w:tc>
        <w:tc>
          <w:tcPr>
            <w:tcW w:w="1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69FC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Qualification</w:t>
            </w:r>
          </w:p>
        </w:tc>
      </w:tr>
      <w:tr w:rsidR="00586A0F" w:rsidRPr="00C070A7" w14:paraId="1BD73A06" w14:textId="77777777" w:rsidTr="00E071A4"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AE6C2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36303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A4F51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1BF7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B784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  <w:tc>
          <w:tcPr>
            <w:tcW w:w="12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1DDD0" w14:textId="77777777" w:rsidR="00586A0F" w:rsidRPr="00C070A7" w:rsidRDefault="00586A0F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05A3A9C6" w14:textId="77777777" w:rsidTr="00E071A4"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9BA45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BA47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Ms. Pham Thi Bang Trang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2047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1ED6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E17CF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4364A" w14:textId="6B7CF44F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Finance and Accounting</w:t>
            </w:r>
          </w:p>
        </w:tc>
      </w:tr>
      <w:tr w:rsidR="00586A0F" w:rsidRPr="00C070A7" w14:paraId="2D45616F" w14:textId="77777777" w:rsidTr="00E071A4">
        <w:tc>
          <w:tcPr>
            <w:tcW w:w="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4D23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083A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Ms. Ha Thi Phuong Truc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7A69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Member of the Supervisory Board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DB6A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25, 2021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61F48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AE08D" w14:textId="504D8EE0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Laws</w:t>
            </w:r>
          </w:p>
        </w:tc>
      </w:tr>
      <w:tr w:rsidR="00586A0F" w:rsidRPr="00C070A7" w14:paraId="7F3B5062" w14:textId="77777777" w:rsidTr="00E071A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79B7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5052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Ms. Le Thi Cam Loan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3242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 Member of the Supervisory Board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FE993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April 24, 2021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819BC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023D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Intermediate Corporate Accounting</w:t>
            </w:r>
          </w:p>
        </w:tc>
      </w:tr>
    </w:tbl>
    <w:p w14:paraId="2187ADAC" w14:textId="609267FA" w:rsidR="00586A0F" w:rsidRPr="00C070A7" w:rsidRDefault="00E071A4" w:rsidP="00E0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4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2"/>
        <w:gridCol w:w="3459"/>
        <w:gridCol w:w="2240"/>
        <w:gridCol w:w="2723"/>
        <w:gridCol w:w="2564"/>
        <w:gridCol w:w="2031"/>
      </w:tblGrid>
      <w:tr w:rsidR="00586A0F" w:rsidRPr="00C070A7" w14:paraId="6986C411" w14:textId="77777777" w:rsidTr="0068680B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E72E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A01F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9837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480C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D66B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AC0E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586A0F" w:rsidRPr="00C070A7" w14:paraId="01081BF2" w14:textId="77777777" w:rsidTr="0068680B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CA6E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BC6E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Le Viet Chau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9935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January 05, 1972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A7004C" w14:textId="1EA59721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32F3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January 01, 2021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70F05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716FFEAD" w14:textId="77777777" w:rsidTr="0068680B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24C05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2E67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Nguyen Hong Chau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0AFC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February 04, 1970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31748" w14:textId="0C7AD941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Economics and Finance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0DBAB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7FB4A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43BF660C" w14:textId="77777777" w:rsidTr="0068680B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A26E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3A06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Nguyen Quoc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E18B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January 01, 1978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7EBD9" w14:textId="2D0B4D81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F877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March 01, 2022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DFEA9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1C6D42F0" w14:textId="77777777" w:rsidTr="0068680B">
        <w:tc>
          <w:tcPr>
            <w:tcW w:w="3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AAD3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4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4863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Pham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Vu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E381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May 06, 1966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A75BE" w14:textId="60F58925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3B40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June 16, 2022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DEDEB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6ADC09D" w14:textId="07093630" w:rsidR="00586A0F" w:rsidRPr="00C070A7" w:rsidRDefault="0068680B" w:rsidP="00E0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E071A4" w:rsidRPr="00C070A7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7"/>
        <w:gridCol w:w="3465"/>
        <w:gridCol w:w="2282"/>
        <w:gridCol w:w="3256"/>
        <w:gridCol w:w="2067"/>
        <w:gridCol w:w="2062"/>
      </w:tblGrid>
      <w:tr w:rsidR="00586A0F" w:rsidRPr="00C070A7" w14:paraId="1617C869" w14:textId="77777777" w:rsidTr="00E071A4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30F3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AA19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51EB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7AFD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28E4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appointment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8D6D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586A0F" w:rsidRPr="00C070A7" w14:paraId="3606CF45" w14:textId="77777777" w:rsidTr="00E071A4">
        <w:tc>
          <w:tcPr>
            <w:tcW w:w="2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1BB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5195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Huynh Minh Tam</w:t>
            </w:r>
          </w:p>
        </w:tc>
        <w:tc>
          <w:tcPr>
            <w:tcW w:w="8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93BB4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24DB" w14:textId="4C1BE206" w:rsidR="00586A0F" w:rsidRPr="00C070A7" w:rsidRDefault="0068680B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E071A4" w:rsidRPr="00C070A7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6D5C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March 01, 2022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4F710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E4A5538" w14:textId="77777777" w:rsidR="00586A0F" w:rsidRPr="00C070A7" w:rsidRDefault="00E071A4" w:rsidP="00E0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Training on corporate governance:</w:t>
      </w:r>
    </w:p>
    <w:p w14:paraId="4E2E3376" w14:textId="593FA3F1" w:rsidR="00586A0F" w:rsidRPr="00C070A7" w:rsidRDefault="00E071A4" w:rsidP="00E0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lastRenderedPageBreak/>
        <w:t xml:space="preserve">List of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5D790763" w14:textId="643F2CF1" w:rsidR="00586A0F" w:rsidRPr="00C070A7" w:rsidRDefault="00E071A4" w:rsidP="00E07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Transactions between the Company and its PDMR; or between the Company and </w:t>
      </w:r>
      <w:r w:rsidR="0068680B">
        <w:rPr>
          <w:rFonts w:ascii="Arial" w:hAnsi="Arial" w:cs="Arial"/>
          <w:color w:val="010000"/>
          <w:sz w:val="20"/>
        </w:rPr>
        <w:t>principal</w:t>
      </w:r>
      <w:r w:rsidRPr="00C070A7">
        <w:rPr>
          <w:rFonts w:ascii="Arial" w:hAnsi="Arial" w:cs="Arial"/>
          <w:color w:val="010000"/>
          <w:sz w:val="20"/>
        </w:rPr>
        <w:t xml:space="preserve"> shareholders, PDMR,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PDMR: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3"/>
        <w:gridCol w:w="2698"/>
        <w:gridCol w:w="1615"/>
        <w:gridCol w:w="1484"/>
        <w:gridCol w:w="1992"/>
        <w:gridCol w:w="1350"/>
        <w:gridCol w:w="2410"/>
        <w:gridCol w:w="1350"/>
        <w:gridCol w:w="597"/>
      </w:tblGrid>
      <w:tr w:rsidR="00586A0F" w:rsidRPr="00C070A7" w14:paraId="32F1354C" w14:textId="77777777" w:rsidTr="0068680B">
        <w:tc>
          <w:tcPr>
            <w:tcW w:w="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D992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82BA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E928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768F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24FC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B57C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3B9B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Resolution/Decision approved No. (including date of promulgation, if any)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7CF48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Content, quantity, total transaction value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7F364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86A0F" w:rsidRPr="00C070A7" w14:paraId="7D560673" w14:textId="77777777" w:rsidTr="0068680B">
        <w:tc>
          <w:tcPr>
            <w:tcW w:w="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662A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53636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Nui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Nho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Stone JSC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A46B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Related organization of PDMR - Chair of the Board of Directors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8509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Business registration No. 4603000286; issued on November 14, 2006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D9B1A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Thung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2 Quarter,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An, Di An,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Duong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2832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F582C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General Mandate No. 01/DHDCD23 dated April 15, 2023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66F5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Product distributor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B4BC2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65C88290" w14:textId="77777777" w:rsidTr="0068680B">
        <w:tc>
          <w:tcPr>
            <w:tcW w:w="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253B9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2DA6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Nhi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Hiep Brick - Tile Co-operation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1F82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Related organization of PDMR - Member of the Board of Directors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A2D0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Business Registration Certificate No. 3700358798 changed for the 13th time on December 8, 2020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F956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1/8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Quyet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Thang Quarter,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Thang, Di An,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Duong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475E6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September 1, 2023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BE9B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Board Resolution No. 55/NQ-HDQT dated August 29, 2023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91364A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Product distributor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CB2EA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315B2C15" w14:textId="77777777" w:rsidTr="0068680B">
        <w:tc>
          <w:tcPr>
            <w:tcW w:w="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5BA0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FFB2EF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High - Grade Brick - Tile Corporation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03A5D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Related organization of PDMR - Member of the Board of Directors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BDCD2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358BB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FBBE7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None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848B6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A4602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C970A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86A0F" w:rsidRPr="00C070A7" w14:paraId="2E3BBAC7" w14:textId="77777777" w:rsidTr="0068680B">
        <w:tc>
          <w:tcPr>
            <w:tcW w:w="1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6E61E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6C120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Thanh Le General Import - Export Trading Corporation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BB342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Related organization of PDMR - Member of the Board of Directors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89B27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1F8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 xml:space="preserve">No. 63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Yersin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Street, Hiep Thanh Ward, Thu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Dau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Mot City, </w:t>
            </w:r>
            <w:proofErr w:type="spellStart"/>
            <w:r w:rsidRPr="00C070A7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C070A7">
              <w:rPr>
                <w:rFonts w:ascii="Arial" w:hAnsi="Arial" w:cs="Arial"/>
                <w:color w:val="010000"/>
                <w:sz w:val="20"/>
              </w:rPr>
              <w:t xml:space="preserve"> Duong Province 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666C3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12AF1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General Mandate No. 01/DHDCD23 dated April 15, 2023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532B" w14:textId="77777777" w:rsidR="00586A0F" w:rsidRPr="00C070A7" w:rsidRDefault="00E071A4" w:rsidP="00E0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070A7">
              <w:rPr>
                <w:rFonts w:ascii="Arial" w:hAnsi="Arial" w:cs="Arial"/>
                <w:color w:val="010000"/>
                <w:sz w:val="20"/>
              </w:rPr>
              <w:t>Retail gasoline...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85683" w14:textId="77777777" w:rsidR="00586A0F" w:rsidRPr="00C070A7" w:rsidRDefault="00586A0F" w:rsidP="00E071A4">
            <w:pPr>
              <w:tabs>
                <w:tab w:val="left" w:pos="360"/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479404E" w14:textId="0AE89AA3" w:rsidR="00586A0F" w:rsidRPr="00C070A7" w:rsidRDefault="00E071A4" w:rsidP="00686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42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Transactions between PDMR of the listed company,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PDMR and subsidiaries, companies controlled by the listed company: None</w:t>
      </w:r>
    </w:p>
    <w:p w14:paraId="7AA4CC45" w14:textId="77777777" w:rsidR="00586A0F" w:rsidRPr="00C070A7" w:rsidRDefault="00E071A4" w:rsidP="00686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71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1F3D6E67" w14:textId="12C50F6E" w:rsidR="00586A0F" w:rsidRPr="00C070A7" w:rsidRDefault="00E071A4" w:rsidP="00686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31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Transactions between the Company and companies where members of the Board of Directors, members of the Supervisory Board, the Executive Manager (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>) have been founding members or member</w:t>
      </w:r>
      <w:r w:rsidR="0068680B">
        <w:rPr>
          <w:rFonts w:ascii="Arial" w:hAnsi="Arial" w:cs="Arial"/>
          <w:color w:val="010000"/>
          <w:sz w:val="20"/>
        </w:rPr>
        <w:t>s of the Board of Directors and</w:t>
      </w:r>
      <w:r w:rsidRPr="00C070A7">
        <w:rPr>
          <w:rFonts w:ascii="Arial" w:hAnsi="Arial" w:cs="Arial"/>
          <w:color w:val="010000"/>
          <w:sz w:val="20"/>
        </w:rPr>
        <w:t xml:space="preserve"> Executive Manager (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) for the past three (03) years (as of the </w:t>
      </w:r>
      <w:r w:rsidR="0068680B">
        <w:rPr>
          <w:rFonts w:ascii="Arial" w:hAnsi="Arial" w:cs="Arial"/>
          <w:color w:val="010000"/>
          <w:sz w:val="20"/>
        </w:rPr>
        <w:t>date</w:t>
      </w:r>
      <w:r w:rsidRPr="00C070A7">
        <w:rPr>
          <w:rFonts w:ascii="Arial" w:hAnsi="Arial" w:cs="Arial"/>
          <w:color w:val="010000"/>
          <w:sz w:val="20"/>
        </w:rPr>
        <w:t xml:space="preserve"> of reporting):</w:t>
      </w:r>
    </w:p>
    <w:p w14:paraId="12C1184C" w14:textId="77777777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4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Nui </w:t>
      </w:r>
      <w:proofErr w:type="spellStart"/>
      <w:r w:rsidRPr="00C070A7">
        <w:rPr>
          <w:rFonts w:ascii="Arial" w:hAnsi="Arial" w:cs="Arial"/>
          <w:color w:val="010000"/>
          <w:sz w:val="20"/>
        </w:rPr>
        <w:t>Nho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Stone JSC (Mr. Doan Minh Quang, Chair of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Corporation's Board of Directors is currently the Chair of Nui </w:t>
      </w:r>
      <w:proofErr w:type="spellStart"/>
      <w:r w:rsidRPr="00C070A7">
        <w:rPr>
          <w:rFonts w:ascii="Arial" w:hAnsi="Arial" w:cs="Arial"/>
          <w:color w:val="010000"/>
          <w:sz w:val="20"/>
        </w:rPr>
        <w:t>Nho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Stone JSC’s Board of Directors)</w:t>
      </w:r>
    </w:p>
    <w:p w14:paraId="14CDDBE7" w14:textId="67AA5EA8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37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Nui </w:t>
      </w:r>
      <w:proofErr w:type="spellStart"/>
      <w:r w:rsidRPr="00C070A7">
        <w:rPr>
          <w:rFonts w:ascii="Arial" w:hAnsi="Arial" w:cs="Arial"/>
          <w:color w:val="010000"/>
          <w:sz w:val="20"/>
        </w:rPr>
        <w:t>Nho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Stone JSC (Mr. Nguyen Quoc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Corporation’s Deputy 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 is currently the Chief of Nui </w:t>
      </w:r>
      <w:proofErr w:type="spellStart"/>
      <w:r w:rsidRPr="00C070A7">
        <w:rPr>
          <w:rFonts w:ascii="Arial" w:hAnsi="Arial" w:cs="Arial"/>
          <w:color w:val="010000"/>
          <w:sz w:val="20"/>
        </w:rPr>
        <w:t>Nho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Stone JSC’s Supervisory Board)</w:t>
      </w:r>
    </w:p>
    <w:p w14:paraId="3879DA8D" w14:textId="77777777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High - Grade Brick - Tile Corporation (Ms. Pham Thi Bang Trang, Chief of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Corporation’s Supervisory Board is currently a member of High - Grade Brick - Tile Corporation’s Board of Directors)</w:t>
      </w:r>
    </w:p>
    <w:p w14:paraId="35C21E74" w14:textId="6B9ED216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4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High - Grade Brick - Tile Corporation (Mr. Nguyen Hong Chau,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Corporation’s Deputy 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 is currently the Chief of High - Grade Brick - Tile Corporation’s Supervisory Board)</w:t>
      </w:r>
    </w:p>
    <w:p w14:paraId="731709B3" w14:textId="77777777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lastRenderedPageBreak/>
        <w:t xml:space="preserve">Giang Nam Logistics Joint Stock Company (Ms. Pham Kim </w:t>
      </w:r>
      <w:proofErr w:type="spellStart"/>
      <w:r w:rsidRPr="00C070A7">
        <w:rPr>
          <w:rFonts w:ascii="Arial" w:hAnsi="Arial" w:cs="Arial"/>
          <w:color w:val="010000"/>
          <w:sz w:val="20"/>
        </w:rPr>
        <w:t>Oanh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, member of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Corporation’s Board of Directors is currently the Chair of Giang Nam Logistics Joint Stock Company's Board of Directors)</w:t>
      </w:r>
    </w:p>
    <w:p w14:paraId="55DC15C2" w14:textId="77777777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TANCANG Waterway </w:t>
      </w:r>
      <w:proofErr w:type="spellStart"/>
      <w:r w:rsidRPr="00C070A7">
        <w:rPr>
          <w:rFonts w:ascii="Arial" w:hAnsi="Arial" w:cs="Arial"/>
          <w:color w:val="010000"/>
          <w:sz w:val="20"/>
        </w:rPr>
        <w:t>Transpot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Join</w:t>
      </w:r>
      <w:bookmarkStart w:id="0" w:name="_GoBack"/>
      <w:bookmarkEnd w:id="0"/>
      <w:r w:rsidRPr="00C070A7">
        <w:rPr>
          <w:rFonts w:ascii="Arial" w:hAnsi="Arial" w:cs="Arial"/>
          <w:color w:val="010000"/>
          <w:sz w:val="20"/>
        </w:rPr>
        <w:t xml:space="preserve">t Stock Company (Ms. Pham Kim </w:t>
      </w:r>
      <w:proofErr w:type="spellStart"/>
      <w:r w:rsidRPr="00C070A7">
        <w:rPr>
          <w:rFonts w:ascii="Arial" w:hAnsi="Arial" w:cs="Arial"/>
          <w:color w:val="010000"/>
          <w:sz w:val="20"/>
        </w:rPr>
        <w:t>Oanh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, member of the Board of Directors of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 is currently a member of Tan </w:t>
      </w:r>
      <w:proofErr w:type="spellStart"/>
      <w:r w:rsidRPr="00C070A7">
        <w:rPr>
          <w:rFonts w:ascii="Arial" w:hAnsi="Arial" w:cs="Arial"/>
          <w:color w:val="010000"/>
          <w:sz w:val="20"/>
        </w:rPr>
        <w:t>Cang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Waterway Transport Joint Stock Company’s Board of Directors)</w:t>
      </w:r>
    </w:p>
    <w:p w14:paraId="773B8585" w14:textId="47334E4C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spellStart"/>
      <w:r w:rsidRPr="00C070A7">
        <w:rPr>
          <w:rFonts w:ascii="Arial" w:hAnsi="Arial" w:cs="Arial"/>
          <w:color w:val="010000"/>
          <w:sz w:val="20"/>
        </w:rPr>
        <w:t>Nhi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Hiep Brick - Tile Co-operation (Mr. Nguyen Hong Chau,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Corporation's Deputy 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 is currently the Chair of </w:t>
      </w:r>
      <w:proofErr w:type="spellStart"/>
      <w:r w:rsidRPr="00C070A7">
        <w:rPr>
          <w:rFonts w:ascii="Arial" w:hAnsi="Arial" w:cs="Arial"/>
          <w:color w:val="010000"/>
          <w:sz w:val="20"/>
        </w:rPr>
        <w:t>Nhi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Hiep Brick -Tile Co-operation’s Board of Directors)</w:t>
      </w:r>
    </w:p>
    <w:p w14:paraId="417E3B8C" w14:textId="34C8057D" w:rsidR="00586A0F" w:rsidRPr="00C070A7" w:rsidRDefault="00E071A4" w:rsidP="00686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3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proofErr w:type="spellStart"/>
      <w:r w:rsidRPr="00C070A7">
        <w:rPr>
          <w:rFonts w:ascii="Arial" w:hAnsi="Arial" w:cs="Arial"/>
          <w:color w:val="010000"/>
          <w:sz w:val="20"/>
        </w:rPr>
        <w:t>Nhi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Hiep Brick - Tile Co-</w:t>
      </w:r>
      <w:r w:rsidR="0068680B">
        <w:rPr>
          <w:rFonts w:ascii="Arial" w:hAnsi="Arial" w:cs="Arial"/>
          <w:color w:val="010000"/>
          <w:sz w:val="20"/>
        </w:rPr>
        <w:t xml:space="preserve">operation (Mr. Nguyen Quoc </w:t>
      </w:r>
      <w:proofErr w:type="spellStart"/>
      <w:r w:rsidR="0068680B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C070A7">
        <w:rPr>
          <w:rFonts w:ascii="Arial" w:hAnsi="Arial" w:cs="Arial"/>
          <w:color w:val="010000"/>
          <w:sz w:val="20"/>
        </w:rPr>
        <w:t>Binh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Duong Building Materials &amp; Construction Corporation's Deputy 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 is currently a member of </w:t>
      </w:r>
      <w:proofErr w:type="spellStart"/>
      <w:r w:rsidRPr="00C070A7">
        <w:rPr>
          <w:rFonts w:ascii="Arial" w:hAnsi="Arial" w:cs="Arial"/>
          <w:color w:val="010000"/>
          <w:sz w:val="20"/>
        </w:rPr>
        <w:t>Nhi</w:t>
      </w:r>
      <w:proofErr w:type="spellEnd"/>
      <w:r w:rsidRPr="00C070A7">
        <w:rPr>
          <w:rFonts w:ascii="Arial" w:hAnsi="Arial" w:cs="Arial"/>
          <w:color w:val="010000"/>
          <w:sz w:val="20"/>
        </w:rPr>
        <w:t xml:space="preserve"> Hiep Brick -Tile Co-operation’s Board of Directors)</w:t>
      </w:r>
    </w:p>
    <w:p w14:paraId="22BF49FF" w14:textId="0737F2AD" w:rsidR="00586A0F" w:rsidRPr="00C070A7" w:rsidRDefault="00E071A4" w:rsidP="00686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Transactions between the Company and companies where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the members of the Board of Directors, members o</w:t>
      </w:r>
      <w:r w:rsidR="0068680B">
        <w:rPr>
          <w:rFonts w:ascii="Arial" w:hAnsi="Arial" w:cs="Arial"/>
          <w:color w:val="010000"/>
          <w:sz w:val="20"/>
        </w:rPr>
        <w:t>f the Supervisory Board, and Executive</w:t>
      </w:r>
      <w:r w:rsidRPr="00C070A7">
        <w:rPr>
          <w:rFonts w:ascii="Arial" w:hAnsi="Arial" w:cs="Arial"/>
          <w:color w:val="010000"/>
          <w:sz w:val="20"/>
        </w:rPr>
        <w:t xml:space="preserve"> Manager (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 xml:space="preserve">) </w:t>
      </w:r>
      <w:r w:rsidR="0068680B">
        <w:rPr>
          <w:rFonts w:ascii="Arial" w:hAnsi="Arial" w:cs="Arial"/>
          <w:color w:val="010000"/>
          <w:sz w:val="20"/>
        </w:rPr>
        <w:t xml:space="preserve">who </w:t>
      </w:r>
      <w:r w:rsidRPr="00C070A7">
        <w:rPr>
          <w:rFonts w:ascii="Arial" w:hAnsi="Arial" w:cs="Arial"/>
          <w:color w:val="010000"/>
          <w:sz w:val="20"/>
        </w:rPr>
        <w:t>are member</w:t>
      </w:r>
      <w:r w:rsidR="0068680B">
        <w:rPr>
          <w:rFonts w:ascii="Arial" w:hAnsi="Arial" w:cs="Arial"/>
          <w:color w:val="010000"/>
          <w:sz w:val="20"/>
        </w:rPr>
        <w:t>s of the Board of Directors and Executive</w:t>
      </w:r>
      <w:r w:rsidRPr="00C070A7">
        <w:rPr>
          <w:rFonts w:ascii="Arial" w:hAnsi="Arial" w:cs="Arial"/>
          <w:color w:val="010000"/>
          <w:sz w:val="20"/>
        </w:rPr>
        <w:t xml:space="preserve"> Manager: None.</w:t>
      </w:r>
    </w:p>
    <w:p w14:paraId="1F8670D7" w14:textId="6E9FA7DE" w:rsidR="00586A0F" w:rsidRPr="00C070A7" w:rsidRDefault="00E071A4" w:rsidP="00686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239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>Other transactions of the Company (if any) which can bring material or non-material benefits to members of the Board of Directors, members o</w:t>
      </w:r>
      <w:r w:rsidR="0068680B">
        <w:rPr>
          <w:rFonts w:ascii="Arial" w:hAnsi="Arial" w:cs="Arial"/>
          <w:color w:val="010000"/>
          <w:sz w:val="20"/>
        </w:rPr>
        <w:t>f the Supervisory Board and</w:t>
      </w:r>
      <w:r w:rsidRPr="00C070A7">
        <w:rPr>
          <w:rFonts w:ascii="Arial" w:hAnsi="Arial" w:cs="Arial"/>
          <w:color w:val="010000"/>
          <w:sz w:val="20"/>
        </w:rPr>
        <w:t xml:space="preserve"> Executive Manager (</w:t>
      </w:r>
      <w:r w:rsidR="0068680B">
        <w:rPr>
          <w:rFonts w:ascii="Arial" w:hAnsi="Arial" w:cs="Arial"/>
          <w:color w:val="010000"/>
          <w:sz w:val="20"/>
        </w:rPr>
        <w:t>Managing Director</w:t>
      </w:r>
      <w:r w:rsidRPr="00C070A7">
        <w:rPr>
          <w:rFonts w:ascii="Arial" w:hAnsi="Arial" w:cs="Arial"/>
          <w:color w:val="010000"/>
          <w:sz w:val="20"/>
        </w:rPr>
        <w:t>): None.</w:t>
      </w:r>
    </w:p>
    <w:p w14:paraId="03A39A3D" w14:textId="4AB2500B" w:rsidR="00586A0F" w:rsidRPr="00C070A7" w:rsidRDefault="00E071A4" w:rsidP="0068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Share transactions of PDMR and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 of PDMR:</w:t>
      </w:r>
    </w:p>
    <w:p w14:paraId="3660B721" w14:textId="11E2F057" w:rsidR="00586A0F" w:rsidRPr="00C070A7" w:rsidRDefault="00E071A4" w:rsidP="006868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Company’s share transactions between PDMR and </w:t>
      </w:r>
      <w:r w:rsidR="0068680B">
        <w:rPr>
          <w:rFonts w:ascii="Arial" w:hAnsi="Arial" w:cs="Arial"/>
          <w:color w:val="010000"/>
          <w:sz w:val="20"/>
        </w:rPr>
        <w:t>related</w:t>
      </w:r>
      <w:r w:rsidRPr="00C070A7">
        <w:rPr>
          <w:rFonts w:ascii="Arial" w:hAnsi="Arial" w:cs="Arial"/>
          <w:color w:val="010000"/>
          <w:sz w:val="20"/>
        </w:rPr>
        <w:t xml:space="preserve"> persons:</w:t>
      </w:r>
    </w:p>
    <w:p w14:paraId="12049503" w14:textId="77777777" w:rsidR="00586A0F" w:rsidRPr="00C070A7" w:rsidRDefault="00E071A4" w:rsidP="00686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70A7">
        <w:rPr>
          <w:rFonts w:ascii="Arial" w:hAnsi="Arial" w:cs="Arial"/>
          <w:color w:val="010000"/>
          <w:sz w:val="20"/>
        </w:rPr>
        <w:t xml:space="preserve"> Other significant issues:</w:t>
      </w:r>
    </w:p>
    <w:sectPr w:rsidR="00586A0F" w:rsidRPr="00C070A7" w:rsidSect="00E071A4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7F6"/>
    <w:multiLevelType w:val="multilevel"/>
    <w:tmpl w:val="EC8E8D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4A7"/>
    <w:multiLevelType w:val="multilevel"/>
    <w:tmpl w:val="F4CA8C9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4F1EA4"/>
    <w:multiLevelType w:val="multilevel"/>
    <w:tmpl w:val="4B4AC3F4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6111D0"/>
    <w:multiLevelType w:val="multilevel"/>
    <w:tmpl w:val="E042D8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6E0"/>
    <w:multiLevelType w:val="multilevel"/>
    <w:tmpl w:val="9B9A08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9AE"/>
    <w:multiLevelType w:val="multilevel"/>
    <w:tmpl w:val="112E6F28"/>
    <w:lvl w:ilvl="0">
      <w:start w:val="2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BC0"/>
    <w:multiLevelType w:val="multilevel"/>
    <w:tmpl w:val="204A04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9C353D"/>
    <w:multiLevelType w:val="multilevel"/>
    <w:tmpl w:val="58E01FF0"/>
    <w:lvl w:ilvl="0">
      <w:start w:val="9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8D91EC3"/>
    <w:multiLevelType w:val="multilevel"/>
    <w:tmpl w:val="31F03A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20970"/>
    <w:multiLevelType w:val="multilevel"/>
    <w:tmpl w:val="7F58C0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0F"/>
    <w:rsid w:val="00586A0F"/>
    <w:rsid w:val="006249E1"/>
    <w:rsid w:val="0068680B"/>
    <w:rsid w:val="006C669B"/>
    <w:rsid w:val="00751428"/>
    <w:rsid w:val="00912389"/>
    <w:rsid w:val="00C070A7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C18AE"/>
  <w15:docId w15:val="{A7A75B0F-8370-435D-93B5-4A91EE7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96885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pacing w:line="28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Microsoft Sans Serif" w:eastAsia="Microsoft Sans Serif" w:hAnsi="Microsoft Sans Serif" w:cs="Microsoft Sans Serif"/>
      <w:color w:val="F96885"/>
      <w:sz w:val="17"/>
      <w:szCs w:val="17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3"/>
      <w:szCs w:val="13"/>
    </w:rPr>
  </w:style>
  <w:style w:type="paragraph" w:customStyle="1" w:styleId="Heading11">
    <w:name w:val="Heading #1"/>
    <w:basedOn w:val="Normal"/>
    <w:link w:val="Heading10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@vlxdbd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gposNNM2yTJ1ot5E/1gZjRg1g==">CgMxLjA4AHIhMTlfRXlXeVdlMmNXV0tGdXZQSFU0aWJLQ0d2WThCalZM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2024-02-26T02:00:00Z</dcterms:created>
  <dcterms:modified xsi:type="dcterms:W3CDTF">2024-02-26T02:00:00Z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608b2f6923f105ea31da3aec571182d15a42d91e11d4bff5f2135dea682b1045</vt:lpwstr>
  </property>
</Properties>
</file>