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74948" w:rsidRPr="008E08D9" w:rsidRDefault="00C06999" w:rsidP="00C06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8E08D9">
        <w:rPr>
          <w:rFonts w:ascii="Arial" w:hAnsi="Arial" w:cs="Arial"/>
          <w:b/>
          <w:color w:val="010000"/>
          <w:sz w:val="20"/>
        </w:rPr>
        <w:t>PEQ: Board Decision</w:t>
      </w:r>
    </w:p>
    <w:p w14:paraId="00000002" w14:textId="77777777" w:rsidR="00A74948" w:rsidRPr="008E08D9" w:rsidRDefault="00C06999" w:rsidP="00C06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On February 22, 2024, Petrolimex Equipment JSC announced Decision No. 081/QD-TBXD on recording the list of shareholders to organize the Annual General Meeting of Shareholders 2024 as follows:</w:t>
      </w:r>
    </w:p>
    <w:p w14:paraId="00000003" w14:textId="77777777" w:rsidR="00A74948" w:rsidRPr="008E08D9" w:rsidRDefault="00C06999" w:rsidP="00C06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‎‎Article 1. Approve recording list of shareholders to organize the Annual General Meeting of Shareholders 2024 of Petrolimex Equipment JSC. Spe</w:t>
      </w:r>
      <w:bookmarkStart w:id="0" w:name="_GoBack"/>
      <w:bookmarkEnd w:id="0"/>
      <w:r w:rsidRPr="008E08D9">
        <w:rPr>
          <w:rFonts w:ascii="Arial" w:hAnsi="Arial" w:cs="Arial"/>
          <w:color w:val="010000"/>
          <w:sz w:val="20"/>
        </w:rPr>
        <w:t>cifically:</w:t>
      </w:r>
    </w:p>
    <w:p w14:paraId="00000004" w14:textId="77777777" w:rsidR="00A74948" w:rsidRPr="008E08D9" w:rsidRDefault="00C06999" w:rsidP="00C0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  <w:tab w:val="left" w:pos="4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Record date to attend: March 08, 2024</w:t>
      </w:r>
    </w:p>
    <w:p w14:paraId="00000005" w14:textId="77777777" w:rsidR="00A74948" w:rsidRPr="008E08D9" w:rsidRDefault="00C06999" w:rsidP="00C0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Time and venue: Expected on April 08, 2024 (the specific time will be announced later)</w:t>
      </w:r>
    </w:p>
    <w:p w14:paraId="00000006" w14:textId="77777777" w:rsidR="00A74948" w:rsidRPr="008E08D9" w:rsidRDefault="00C06999" w:rsidP="00C06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Meeting content:</w:t>
      </w:r>
    </w:p>
    <w:p w14:paraId="00000007" w14:textId="77777777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Approve the Report on production and business in 2023 and 2024 plan;</w:t>
      </w:r>
    </w:p>
    <w:p w14:paraId="00000008" w14:textId="77777777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Approve the Report on governance of the Board of Directors in 2023;</w:t>
      </w:r>
    </w:p>
    <w:p w14:paraId="00000009" w14:textId="38D693CA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Approve the Audited Financial Statement</w:t>
      </w:r>
      <w:r w:rsidR="008E08D9" w:rsidRPr="008E08D9">
        <w:rPr>
          <w:rFonts w:ascii="Arial" w:hAnsi="Arial" w:cs="Arial"/>
          <w:color w:val="010000"/>
          <w:sz w:val="20"/>
        </w:rPr>
        <w:t>s</w:t>
      </w:r>
      <w:r w:rsidRPr="008E08D9">
        <w:rPr>
          <w:rFonts w:ascii="Arial" w:hAnsi="Arial" w:cs="Arial"/>
          <w:color w:val="010000"/>
          <w:sz w:val="20"/>
        </w:rPr>
        <w:t xml:space="preserve"> 2023;</w:t>
      </w:r>
    </w:p>
    <w:p w14:paraId="0000000A" w14:textId="77777777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Approve the Report on control and activities of the Supervisory Board in 2023;</w:t>
      </w:r>
    </w:p>
    <w:p w14:paraId="0000000B" w14:textId="77777777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Approve the plan on profit distribution and dividend payment in 2023;</w:t>
      </w:r>
    </w:p>
    <w:p w14:paraId="0000000C" w14:textId="7F0D4382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Elect additional members for the Supervisory Board for the term</w:t>
      </w:r>
      <w:r w:rsidR="008E08D9" w:rsidRPr="008E08D9">
        <w:rPr>
          <w:rFonts w:ascii="Arial" w:hAnsi="Arial" w:cs="Arial"/>
          <w:color w:val="010000"/>
          <w:sz w:val="20"/>
        </w:rPr>
        <w:t xml:space="preserve"> of</w:t>
      </w:r>
      <w:r w:rsidRPr="008E08D9">
        <w:rPr>
          <w:rFonts w:ascii="Arial" w:hAnsi="Arial" w:cs="Arial"/>
          <w:color w:val="010000"/>
          <w:sz w:val="20"/>
        </w:rPr>
        <w:t xml:space="preserve"> 2023-2028;</w:t>
      </w:r>
    </w:p>
    <w:p w14:paraId="0000000D" w14:textId="77777777" w:rsidR="00A74948" w:rsidRPr="008E08D9" w:rsidRDefault="00C06999" w:rsidP="00C069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Other issues under the authority of the General Meeting of Shareholders</w:t>
      </w:r>
    </w:p>
    <w:p w14:paraId="0000000E" w14:textId="781936B2" w:rsidR="00A74948" w:rsidRPr="008E08D9" w:rsidRDefault="00C06999" w:rsidP="00C06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‎‎Article 2. Assign the Company</w:t>
      </w:r>
      <w:r w:rsidR="008E08D9" w:rsidRPr="008E08D9">
        <w:rPr>
          <w:rFonts w:ascii="Arial" w:hAnsi="Arial" w:cs="Arial"/>
          <w:color w:val="010000"/>
          <w:sz w:val="20"/>
        </w:rPr>
        <w:t>’s</w:t>
      </w:r>
      <w:r w:rsidRPr="008E08D9">
        <w:rPr>
          <w:rFonts w:ascii="Arial" w:hAnsi="Arial" w:cs="Arial"/>
          <w:color w:val="010000"/>
          <w:sz w:val="20"/>
        </w:rPr>
        <w:t xml:space="preserve"> Manager to direct the professional departments to carry out the necessary procedures to record the list of shareholders in accordance with the regulations of the State and the Company.</w:t>
      </w:r>
    </w:p>
    <w:p w14:paraId="0000000F" w14:textId="069827D7" w:rsidR="00A74948" w:rsidRPr="008E08D9" w:rsidRDefault="00C06999" w:rsidP="00C06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E08D9">
        <w:rPr>
          <w:rFonts w:ascii="Arial" w:hAnsi="Arial" w:cs="Arial"/>
          <w:color w:val="010000"/>
          <w:sz w:val="20"/>
        </w:rPr>
        <w:t>Article 3. Members of the Board of Directors, the Company</w:t>
      </w:r>
      <w:r w:rsidR="008E08D9" w:rsidRPr="008E08D9">
        <w:rPr>
          <w:rFonts w:ascii="Arial" w:hAnsi="Arial" w:cs="Arial"/>
          <w:color w:val="010000"/>
          <w:sz w:val="20"/>
        </w:rPr>
        <w:t>’s</w:t>
      </w:r>
      <w:r w:rsidRPr="008E08D9">
        <w:rPr>
          <w:rFonts w:ascii="Arial" w:hAnsi="Arial" w:cs="Arial"/>
          <w:color w:val="010000"/>
          <w:sz w:val="20"/>
        </w:rPr>
        <w:t xml:space="preserve"> Manager and Heads of affiliated professional departments and units are responsible for implementing this Decision. </w:t>
      </w:r>
    </w:p>
    <w:sectPr w:rsidR="00A74948" w:rsidRPr="008E08D9" w:rsidSect="00C06999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36D"/>
    <w:multiLevelType w:val="multilevel"/>
    <w:tmpl w:val="223CC3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D44572"/>
    <w:multiLevelType w:val="multilevel"/>
    <w:tmpl w:val="95FA146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48"/>
    <w:rsid w:val="008E08D9"/>
    <w:rsid w:val="00A74948"/>
    <w:rsid w:val="00C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390CC"/>
  <w15:docId w15:val="{5CA6A974-280A-4033-85FD-019787C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CF7F91"/>
      <w:w w:val="70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b/>
      <w:bCs/>
      <w:color w:val="CF7F91"/>
      <w:w w:val="70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TukHGgAZGjMAgPWDr/Qi8COIA==">CgMxLjA4AHIhMWw5TGdDRVNTLVIxZXVJMFNJQkgwUXI3MkY2ZWIteGtY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1184</Characters>
  <Application>Microsoft Office Word</Application>
  <DocSecurity>0</DocSecurity>
  <Lines>21</Lines>
  <Paragraphs>15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2024-02-23T08:14:00Z</dcterms:created>
  <dcterms:modified xsi:type="dcterms:W3CDTF">2024-02-26T02:08:00Z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3fdff749b963db8c6c84e79d4f77d83510d7b75af333e904fb6e34f417a1ba5e</vt:lpwstr>
  </property>
</Properties>
</file>