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AE0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7F0BED">
        <w:rPr>
          <w:rFonts w:ascii="Arial" w:hAnsi="Arial" w:cs="Arial"/>
          <w:b/>
          <w:color w:val="010000"/>
          <w:sz w:val="20"/>
        </w:rPr>
        <w:t>VLA: Board Resolution</w:t>
      </w:r>
    </w:p>
    <w:p w14:paraId="27235C1A" w14:textId="16A4A064"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 xml:space="preserve">On </w:t>
      </w:r>
      <w:r w:rsidR="007F0BED" w:rsidRPr="007F0BED">
        <w:rPr>
          <w:rFonts w:ascii="Arial" w:hAnsi="Arial" w:cs="Arial"/>
          <w:color w:val="010000"/>
          <w:sz w:val="20"/>
        </w:rPr>
        <w:t>December 29, 2023,</w:t>
      </w:r>
      <w:r w:rsidRPr="007F0BED">
        <w:rPr>
          <w:rFonts w:ascii="Arial" w:hAnsi="Arial" w:cs="Arial"/>
          <w:color w:val="010000"/>
          <w:sz w:val="20"/>
        </w:rPr>
        <w:t xml:space="preserve"> Van Lang Technology Development and Investment JSC announced </w:t>
      </w:r>
      <w:r w:rsidR="007F0BED" w:rsidRPr="007F0BED">
        <w:rPr>
          <w:rFonts w:ascii="Arial" w:hAnsi="Arial" w:cs="Arial"/>
          <w:color w:val="010000"/>
          <w:sz w:val="20"/>
        </w:rPr>
        <w:t>Resolution</w:t>
      </w:r>
      <w:r w:rsidRPr="007F0BED">
        <w:rPr>
          <w:rFonts w:ascii="Arial" w:hAnsi="Arial" w:cs="Arial"/>
          <w:color w:val="010000"/>
          <w:sz w:val="20"/>
        </w:rPr>
        <w:t xml:space="preserve"> No. 137/2023/NQ-HDQTVLA on changing the Plan for using proceeds from issuing additional shares to existing shareholders as follows:</w:t>
      </w:r>
    </w:p>
    <w:p w14:paraId="12912598"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Article 1: Approve changing the plan for using proceeds from issuing additional shares to existing shareholders, with the following specific contents:</w:t>
      </w:r>
    </w:p>
    <w:p w14:paraId="655BEB05" w14:textId="77777777" w:rsidR="00752C0F" w:rsidRPr="007F0BED" w:rsidRDefault="00581E29" w:rsidP="00D628A0">
      <w:pPr>
        <w:keepNext/>
        <w:numPr>
          <w:ilvl w:val="0"/>
          <w:numId w:val="2"/>
        </w:numPr>
        <w:pBdr>
          <w:top w:val="nil"/>
          <w:left w:val="nil"/>
          <w:bottom w:val="nil"/>
          <w:right w:val="nil"/>
          <w:between w:val="nil"/>
        </w:pBdr>
        <w:tabs>
          <w:tab w:val="left" w:pos="432"/>
          <w:tab w:val="left" w:pos="691"/>
        </w:tabs>
        <w:spacing w:after="120" w:line="360" w:lineRule="auto"/>
        <w:jc w:val="both"/>
        <w:rPr>
          <w:rFonts w:ascii="Arial" w:eastAsia="Arial" w:hAnsi="Arial" w:cs="Arial"/>
          <w:color w:val="010000"/>
          <w:sz w:val="20"/>
          <w:szCs w:val="20"/>
        </w:rPr>
      </w:pPr>
      <w:r w:rsidRPr="007F0BED">
        <w:rPr>
          <w:rFonts w:ascii="Arial" w:hAnsi="Arial" w:cs="Arial"/>
          <w:color w:val="010000"/>
          <w:sz w:val="20"/>
        </w:rPr>
        <w:t>Plan for using capital before the issuance:</w:t>
      </w:r>
    </w:p>
    <w:p w14:paraId="1253FE81"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The entire increased charter capital will be used for the purpose of establishing a branch of Van Lang Technology Development and Investment JSC in Ho Chi Minh City according to the Branch Establishment Project approved by the Company's General Meeting of Shareholders at General Mandate No. 04/2022/NQ-DHDCDBTVLA dated September 14, 2022. In particular, the capital mobilized from the offering will be used entirely for the establishment of the branch according to the content of the Project, specifically: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0"/>
        <w:gridCol w:w="3380"/>
        <w:gridCol w:w="1793"/>
        <w:gridCol w:w="3146"/>
      </w:tblGrid>
      <w:tr w:rsidR="00752C0F" w:rsidRPr="007F0BED" w14:paraId="390CEB3D" w14:textId="77777777" w:rsidTr="00581E29">
        <w:tc>
          <w:tcPr>
            <w:tcW w:w="388" w:type="pct"/>
            <w:shd w:val="clear" w:color="auto" w:fill="auto"/>
            <w:tcMar>
              <w:top w:w="0" w:type="dxa"/>
              <w:bottom w:w="0" w:type="dxa"/>
            </w:tcMar>
            <w:vAlign w:val="center"/>
          </w:tcPr>
          <w:p w14:paraId="3B574C9E"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No.</w:t>
            </w:r>
          </w:p>
        </w:tc>
        <w:tc>
          <w:tcPr>
            <w:tcW w:w="1874" w:type="pct"/>
            <w:shd w:val="clear" w:color="auto" w:fill="auto"/>
            <w:tcMar>
              <w:top w:w="0" w:type="dxa"/>
              <w:bottom w:w="0" w:type="dxa"/>
            </w:tcMar>
            <w:vAlign w:val="center"/>
          </w:tcPr>
          <w:p w14:paraId="1F231441"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Expense for the Branch’s operations</w:t>
            </w:r>
          </w:p>
        </w:tc>
        <w:tc>
          <w:tcPr>
            <w:tcW w:w="994" w:type="pct"/>
            <w:shd w:val="clear" w:color="auto" w:fill="auto"/>
            <w:tcMar>
              <w:top w:w="0" w:type="dxa"/>
              <w:bottom w:w="0" w:type="dxa"/>
            </w:tcMar>
            <w:vAlign w:val="center"/>
          </w:tcPr>
          <w:p w14:paraId="1FCCC6B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Expected amount (VND)</w:t>
            </w:r>
          </w:p>
        </w:tc>
        <w:tc>
          <w:tcPr>
            <w:tcW w:w="1744" w:type="pct"/>
            <w:shd w:val="clear" w:color="auto" w:fill="auto"/>
            <w:tcMar>
              <w:top w:w="0" w:type="dxa"/>
              <w:bottom w:w="0" w:type="dxa"/>
            </w:tcMar>
            <w:vAlign w:val="center"/>
          </w:tcPr>
          <w:p w14:paraId="0DEF86A4"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Execution time</w:t>
            </w:r>
          </w:p>
        </w:tc>
      </w:tr>
      <w:tr w:rsidR="00752C0F" w:rsidRPr="007F0BED" w14:paraId="4380DE39" w14:textId="77777777" w:rsidTr="00581E29">
        <w:tc>
          <w:tcPr>
            <w:tcW w:w="388" w:type="pct"/>
            <w:shd w:val="clear" w:color="auto" w:fill="auto"/>
            <w:tcMar>
              <w:top w:w="0" w:type="dxa"/>
              <w:bottom w:w="0" w:type="dxa"/>
            </w:tcMar>
            <w:vAlign w:val="center"/>
          </w:tcPr>
          <w:p w14:paraId="3FA95CB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w:t>
            </w:r>
          </w:p>
        </w:tc>
        <w:tc>
          <w:tcPr>
            <w:tcW w:w="1874" w:type="pct"/>
            <w:shd w:val="clear" w:color="auto" w:fill="auto"/>
            <w:tcMar>
              <w:top w:w="0" w:type="dxa"/>
              <w:bottom w:w="0" w:type="dxa"/>
            </w:tcMar>
            <w:vAlign w:val="center"/>
          </w:tcPr>
          <w:p w14:paraId="5F561B30"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Labor expenses</w:t>
            </w:r>
          </w:p>
        </w:tc>
        <w:tc>
          <w:tcPr>
            <w:tcW w:w="994" w:type="pct"/>
            <w:shd w:val="clear" w:color="auto" w:fill="auto"/>
            <w:tcMar>
              <w:top w:w="0" w:type="dxa"/>
              <w:bottom w:w="0" w:type="dxa"/>
            </w:tcMar>
            <w:vAlign w:val="center"/>
          </w:tcPr>
          <w:p w14:paraId="055DEA51"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3,062,400,000</w:t>
            </w:r>
          </w:p>
        </w:tc>
        <w:tc>
          <w:tcPr>
            <w:tcW w:w="1744" w:type="pct"/>
            <w:shd w:val="clear" w:color="auto" w:fill="auto"/>
            <w:tcMar>
              <w:top w:w="0" w:type="dxa"/>
              <w:bottom w:w="0" w:type="dxa"/>
            </w:tcMar>
            <w:vAlign w:val="center"/>
          </w:tcPr>
          <w:p w14:paraId="7EF2CBC9"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Q4/2022 - Q1/2023</w:t>
            </w:r>
          </w:p>
        </w:tc>
      </w:tr>
      <w:tr w:rsidR="00752C0F" w:rsidRPr="007F0BED" w14:paraId="093A6326" w14:textId="77777777" w:rsidTr="00581E29">
        <w:tc>
          <w:tcPr>
            <w:tcW w:w="388" w:type="pct"/>
            <w:shd w:val="clear" w:color="auto" w:fill="auto"/>
            <w:tcMar>
              <w:top w:w="0" w:type="dxa"/>
              <w:bottom w:w="0" w:type="dxa"/>
            </w:tcMar>
            <w:vAlign w:val="center"/>
          </w:tcPr>
          <w:p w14:paraId="41DA0274"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2</w:t>
            </w:r>
          </w:p>
        </w:tc>
        <w:tc>
          <w:tcPr>
            <w:tcW w:w="1874" w:type="pct"/>
            <w:shd w:val="clear" w:color="auto" w:fill="auto"/>
            <w:tcMar>
              <w:top w:w="0" w:type="dxa"/>
              <w:bottom w:w="0" w:type="dxa"/>
            </w:tcMar>
            <w:vAlign w:val="center"/>
          </w:tcPr>
          <w:p w14:paraId="639CFC7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Advertising and marketing expenses</w:t>
            </w:r>
          </w:p>
        </w:tc>
        <w:tc>
          <w:tcPr>
            <w:tcW w:w="994" w:type="pct"/>
            <w:shd w:val="clear" w:color="auto" w:fill="auto"/>
            <w:tcMar>
              <w:top w:w="0" w:type="dxa"/>
              <w:bottom w:w="0" w:type="dxa"/>
            </w:tcMar>
            <w:vAlign w:val="center"/>
          </w:tcPr>
          <w:p w14:paraId="188F849B"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10,800,000,000</w:t>
            </w:r>
          </w:p>
        </w:tc>
        <w:tc>
          <w:tcPr>
            <w:tcW w:w="1744" w:type="pct"/>
            <w:shd w:val="clear" w:color="auto" w:fill="auto"/>
            <w:tcMar>
              <w:top w:w="0" w:type="dxa"/>
              <w:bottom w:w="0" w:type="dxa"/>
            </w:tcMar>
            <w:vAlign w:val="center"/>
          </w:tcPr>
          <w:p w14:paraId="54DEFA6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Q4/2022 - Q1/2023</w:t>
            </w:r>
          </w:p>
        </w:tc>
      </w:tr>
      <w:tr w:rsidR="00752C0F" w:rsidRPr="007F0BED" w14:paraId="342257B1" w14:textId="77777777" w:rsidTr="00581E29">
        <w:tc>
          <w:tcPr>
            <w:tcW w:w="388" w:type="pct"/>
            <w:shd w:val="clear" w:color="auto" w:fill="auto"/>
            <w:tcMar>
              <w:top w:w="0" w:type="dxa"/>
              <w:bottom w:w="0" w:type="dxa"/>
            </w:tcMar>
            <w:vAlign w:val="center"/>
          </w:tcPr>
          <w:p w14:paraId="1FFA4EB8"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3</w:t>
            </w:r>
          </w:p>
        </w:tc>
        <w:tc>
          <w:tcPr>
            <w:tcW w:w="1874" w:type="pct"/>
            <w:shd w:val="clear" w:color="auto" w:fill="auto"/>
            <w:tcMar>
              <w:top w:w="0" w:type="dxa"/>
              <w:bottom w:w="0" w:type="dxa"/>
            </w:tcMar>
            <w:vAlign w:val="center"/>
          </w:tcPr>
          <w:p w14:paraId="60AABF3C"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Infrastructure and other expenses</w:t>
            </w:r>
          </w:p>
        </w:tc>
        <w:tc>
          <w:tcPr>
            <w:tcW w:w="994" w:type="pct"/>
            <w:shd w:val="clear" w:color="auto" w:fill="auto"/>
            <w:tcMar>
              <w:top w:w="0" w:type="dxa"/>
              <w:bottom w:w="0" w:type="dxa"/>
            </w:tcMar>
            <w:vAlign w:val="center"/>
          </w:tcPr>
          <w:p w14:paraId="11774B3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6,117,580,000</w:t>
            </w:r>
          </w:p>
        </w:tc>
        <w:tc>
          <w:tcPr>
            <w:tcW w:w="1744" w:type="pct"/>
            <w:shd w:val="clear" w:color="auto" w:fill="auto"/>
            <w:tcMar>
              <w:top w:w="0" w:type="dxa"/>
              <w:bottom w:w="0" w:type="dxa"/>
            </w:tcMar>
            <w:vAlign w:val="center"/>
          </w:tcPr>
          <w:p w14:paraId="288C944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Q4/2022 - Q1/2023</w:t>
            </w:r>
          </w:p>
        </w:tc>
      </w:tr>
      <w:tr w:rsidR="00752C0F" w:rsidRPr="007F0BED" w14:paraId="4CD8A8C9" w14:textId="77777777" w:rsidTr="00581E29">
        <w:tc>
          <w:tcPr>
            <w:tcW w:w="388" w:type="pct"/>
            <w:shd w:val="clear" w:color="auto" w:fill="auto"/>
            <w:tcMar>
              <w:top w:w="0" w:type="dxa"/>
              <w:bottom w:w="0" w:type="dxa"/>
            </w:tcMar>
            <w:vAlign w:val="center"/>
          </w:tcPr>
          <w:p w14:paraId="248AF599" w14:textId="77777777" w:rsidR="00752C0F" w:rsidRPr="007F0BED" w:rsidRDefault="00752C0F" w:rsidP="00581E29">
            <w:pPr>
              <w:tabs>
                <w:tab w:val="left" w:pos="432"/>
              </w:tabs>
              <w:spacing w:after="120" w:line="360" w:lineRule="auto"/>
              <w:rPr>
                <w:rFonts w:ascii="Arial" w:eastAsia="Arial" w:hAnsi="Arial" w:cs="Arial"/>
                <w:color w:val="010000"/>
                <w:sz w:val="20"/>
                <w:szCs w:val="20"/>
              </w:rPr>
            </w:pPr>
          </w:p>
        </w:tc>
        <w:tc>
          <w:tcPr>
            <w:tcW w:w="1874" w:type="pct"/>
            <w:shd w:val="clear" w:color="auto" w:fill="auto"/>
            <w:tcMar>
              <w:top w:w="0" w:type="dxa"/>
              <w:bottom w:w="0" w:type="dxa"/>
            </w:tcMar>
            <w:vAlign w:val="center"/>
          </w:tcPr>
          <w:p w14:paraId="01FCAF5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Total</w:t>
            </w:r>
          </w:p>
        </w:tc>
        <w:tc>
          <w:tcPr>
            <w:tcW w:w="994" w:type="pct"/>
            <w:shd w:val="clear" w:color="auto" w:fill="auto"/>
            <w:tcMar>
              <w:top w:w="0" w:type="dxa"/>
              <w:bottom w:w="0" w:type="dxa"/>
            </w:tcMar>
            <w:vAlign w:val="center"/>
          </w:tcPr>
          <w:p w14:paraId="55DEB43B"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19,979,980,000</w:t>
            </w:r>
          </w:p>
        </w:tc>
        <w:tc>
          <w:tcPr>
            <w:tcW w:w="1744" w:type="pct"/>
            <w:shd w:val="clear" w:color="auto" w:fill="auto"/>
            <w:tcMar>
              <w:top w:w="0" w:type="dxa"/>
              <w:bottom w:w="0" w:type="dxa"/>
            </w:tcMar>
            <w:vAlign w:val="center"/>
          </w:tcPr>
          <w:p w14:paraId="5BB5144D" w14:textId="77777777" w:rsidR="00752C0F" w:rsidRPr="007F0BED" w:rsidRDefault="00752C0F" w:rsidP="00581E29">
            <w:pPr>
              <w:tabs>
                <w:tab w:val="left" w:pos="432"/>
              </w:tabs>
              <w:spacing w:after="120" w:line="360" w:lineRule="auto"/>
              <w:rPr>
                <w:rFonts w:ascii="Arial" w:eastAsia="Arial" w:hAnsi="Arial" w:cs="Arial"/>
                <w:color w:val="010000"/>
                <w:sz w:val="20"/>
                <w:szCs w:val="20"/>
              </w:rPr>
            </w:pPr>
          </w:p>
        </w:tc>
      </w:tr>
    </w:tbl>
    <w:p w14:paraId="2ED0068E" w14:textId="44A9CDEE"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 xml:space="preserve">Implement the approved offering plan, the Company's Board of Directors submitted the Public Offering Registration Dossier to the State Securities Commission. On September 8, 2023, the Company was granted </w:t>
      </w:r>
      <w:r w:rsidR="007F0BED" w:rsidRPr="007F0BED">
        <w:rPr>
          <w:rFonts w:ascii="Arial" w:hAnsi="Arial" w:cs="Arial"/>
          <w:color w:val="010000"/>
          <w:sz w:val="20"/>
        </w:rPr>
        <w:t xml:space="preserve">a </w:t>
      </w:r>
      <w:r w:rsidRPr="007F0BED">
        <w:rPr>
          <w:rFonts w:ascii="Arial" w:hAnsi="Arial" w:cs="Arial"/>
          <w:color w:val="010000"/>
          <w:sz w:val="20"/>
        </w:rPr>
        <w:t>Certificate of registration for additional public offering No. 261/GCN-UBCK dated September 8, 2023 of the State Securities Commission.</w:t>
      </w:r>
    </w:p>
    <w:p w14:paraId="7D983FC3" w14:textId="77777777" w:rsidR="00752C0F" w:rsidRPr="007F0BED" w:rsidRDefault="00581E29" w:rsidP="00581E29">
      <w:pPr>
        <w:numPr>
          <w:ilvl w:val="0"/>
          <w:numId w:val="1"/>
        </w:numPr>
        <w:pBdr>
          <w:top w:val="nil"/>
          <w:left w:val="nil"/>
          <w:bottom w:val="nil"/>
          <w:right w:val="nil"/>
          <w:between w:val="nil"/>
        </w:pBdr>
        <w:tabs>
          <w:tab w:val="left" w:pos="432"/>
          <w:tab w:val="left" w:pos="822"/>
        </w:tabs>
        <w:spacing w:after="120" w:line="360" w:lineRule="auto"/>
        <w:rPr>
          <w:rFonts w:ascii="Arial" w:eastAsia="Arial" w:hAnsi="Arial" w:cs="Arial"/>
          <w:color w:val="010000"/>
          <w:sz w:val="20"/>
          <w:szCs w:val="20"/>
        </w:rPr>
      </w:pPr>
      <w:r w:rsidRPr="007F0BED">
        <w:rPr>
          <w:rFonts w:ascii="Arial" w:hAnsi="Arial" w:cs="Arial"/>
          <w:color w:val="010000"/>
          <w:sz w:val="20"/>
        </w:rPr>
        <w:t>Number of shares registered for offering: 1,997,998 shares</w:t>
      </w:r>
    </w:p>
    <w:p w14:paraId="54D3154C" w14:textId="77777777" w:rsidR="00752C0F" w:rsidRPr="007F0BED" w:rsidRDefault="00581E29" w:rsidP="00D628A0">
      <w:pPr>
        <w:numPr>
          <w:ilvl w:val="0"/>
          <w:numId w:val="1"/>
        </w:numPr>
        <w:pBdr>
          <w:top w:val="nil"/>
          <w:left w:val="nil"/>
          <w:bottom w:val="nil"/>
          <w:right w:val="nil"/>
          <w:between w:val="nil"/>
        </w:pBdr>
        <w:tabs>
          <w:tab w:val="left" w:pos="432"/>
          <w:tab w:val="left" w:pos="822"/>
        </w:tabs>
        <w:spacing w:after="120" w:line="360" w:lineRule="auto"/>
        <w:jc w:val="both"/>
        <w:rPr>
          <w:rFonts w:ascii="Arial" w:eastAsia="Arial" w:hAnsi="Arial" w:cs="Arial"/>
          <w:color w:val="010000"/>
          <w:sz w:val="20"/>
          <w:szCs w:val="20"/>
        </w:rPr>
      </w:pPr>
      <w:r w:rsidRPr="007F0BED">
        <w:rPr>
          <w:rFonts w:ascii="Arial" w:hAnsi="Arial" w:cs="Arial"/>
          <w:color w:val="010000"/>
          <w:sz w:val="20"/>
        </w:rPr>
        <w:t>Par value: VND 10,000/share</w:t>
      </w:r>
    </w:p>
    <w:p w14:paraId="40E4EF62" w14:textId="77777777" w:rsidR="00752C0F" w:rsidRPr="007F0BED" w:rsidRDefault="00581E29" w:rsidP="00D628A0">
      <w:pPr>
        <w:numPr>
          <w:ilvl w:val="0"/>
          <w:numId w:val="1"/>
        </w:numPr>
        <w:pBdr>
          <w:top w:val="nil"/>
          <w:left w:val="nil"/>
          <w:bottom w:val="nil"/>
          <w:right w:val="nil"/>
          <w:between w:val="nil"/>
        </w:pBdr>
        <w:tabs>
          <w:tab w:val="left" w:pos="432"/>
          <w:tab w:val="left" w:pos="822"/>
        </w:tabs>
        <w:spacing w:after="120" w:line="360" w:lineRule="auto"/>
        <w:jc w:val="both"/>
        <w:rPr>
          <w:rFonts w:ascii="Arial" w:eastAsia="Arial" w:hAnsi="Arial" w:cs="Arial"/>
          <w:color w:val="010000"/>
          <w:sz w:val="20"/>
          <w:szCs w:val="20"/>
        </w:rPr>
      </w:pPr>
      <w:r w:rsidRPr="007F0BED">
        <w:rPr>
          <w:rFonts w:ascii="Arial" w:hAnsi="Arial" w:cs="Arial"/>
          <w:color w:val="010000"/>
          <w:sz w:val="20"/>
        </w:rPr>
        <w:t>Total expected amount of proceeds: VND 19,979,980,000</w:t>
      </w:r>
    </w:p>
    <w:p w14:paraId="29C05639" w14:textId="77777777" w:rsidR="00752C0F" w:rsidRPr="007F0BED" w:rsidRDefault="00581E29" w:rsidP="00D628A0">
      <w:pPr>
        <w:numPr>
          <w:ilvl w:val="0"/>
          <w:numId w:val="1"/>
        </w:numPr>
        <w:pBdr>
          <w:top w:val="nil"/>
          <w:left w:val="nil"/>
          <w:bottom w:val="nil"/>
          <w:right w:val="nil"/>
          <w:between w:val="nil"/>
        </w:pBdr>
        <w:tabs>
          <w:tab w:val="left" w:pos="432"/>
          <w:tab w:val="left" w:pos="822"/>
        </w:tabs>
        <w:spacing w:after="120" w:line="360" w:lineRule="auto"/>
        <w:jc w:val="both"/>
        <w:rPr>
          <w:rFonts w:ascii="Arial" w:eastAsia="Arial" w:hAnsi="Arial" w:cs="Arial"/>
          <w:color w:val="010000"/>
          <w:sz w:val="20"/>
          <w:szCs w:val="20"/>
        </w:rPr>
      </w:pPr>
      <w:r w:rsidRPr="007F0BED">
        <w:rPr>
          <w:rFonts w:ascii="Arial" w:hAnsi="Arial" w:cs="Arial"/>
          <w:color w:val="010000"/>
          <w:sz w:val="20"/>
        </w:rPr>
        <w:t>The results of the issuance are as follows:</w:t>
      </w:r>
    </w:p>
    <w:p w14:paraId="52B89775" w14:textId="77777777" w:rsidR="00752C0F" w:rsidRPr="007F0BED" w:rsidRDefault="00581E29" w:rsidP="00D628A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F0BED">
        <w:rPr>
          <w:rFonts w:ascii="Arial" w:hAnsi="Arial" w:cs="Arial"/>
          <w:color w:val="010000"/>
          <w:sz w:val="20"/>
        </w:rPr>
        <w:t>Total number of issued shares: 1,997,998 shares</w:t>
      </w:r>
    </w:p>
    <w:p w14:paraId="0E9739AD" w14:textId="77777777" w:rsidR="00752C0F" w:rsidRPr="007F0BED" w:rsidRDefault="00581E29" w:rsidP="00D628A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F0BED">
        <w:rPr>
          <w:rFonts w:ascii="Arial" w:hAnsi="Arial" w:cs="Arial"/>
          <w:color w:val="010000"/>
          <w:sz w:val="20"/>
        </w:rPr>
        <w:t>Total proceeds from the offering: VND 19,979,980,000</w:t>
      </w:r>
    </w:p>
    <w:p w14:paraId="5A8C50FA" w14:textId="77777777" w:rsidR="00752C0F" w:rsidRPr="007F0BED" w:rsidRDefault="00581E29" w:rsidP="00D628A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F0BED">
        <w:rPr>
          <w:rFonts w:ascii="Arial" w:hAnsi="Arial" w:cs="Arial"/>
          <w:color w:val="010000"/>
          <w:sz w:val="20"/>
        </w:rPr>
        <w:t>Total expenses related to the issuance: VND 202,680,000.</w:t>
      </w:r>
    </w:p>
    <w:p w14:paraId="540B6A53" w14:textId="77777777" w:rsidR="00752C0F" w:rsidRPr="007F0BED" w:rsidRDefault="00581E29" w:rsidP="00D628A0">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7F0BED">
        <w:rPr>
          <w:rFonts w:ascii="Arial" w:hAnsi="Arial" w:cs="Arial"/>
          <w:color w:val="010000"/>
          <w:sz w:val="20"/>
        </w:rPr>
        <w:t>Net proceeds from the offering: VND 19,777,300,000.</w:t>
      </w:r>
    </w:p>
    <w:p w14:paraId="54FAD462" w14:textId="77777777" w:rsidR="00752C0F" w:rsidRPr="007F0BED" w:rsidRDefault="00581E29" w:rsidP="00D628A0">
      <w:pPr>
        <w:keepNext/>
        <w:numPr>
          <w:ilvl w:val="0"/>
          <w:numId w:val="2"/>
        </w:numPr>
        <w:pBdr>
          <w:top w:val="nil"/>
          <w:left w:val="nil"/>
          <w:bottom w:val="nil"/>
          <w:right w:val="nil"/>
          <w:between w:val="nil"/>
        </w:pBdr>
        <w:tabs>
          <w:tab w:val="left" w:pos="432"/>
          <w:tab w:val="left" w:pos="624"/>
        </w:tabs>
        <w:spacing w:after="120" w:line="360" w:lineRule="auto"/>
        <w:jc w:val="both"/>
        <w:rPr>
          <w:rFonts w:ascii="Arial" w:eastAsia="Arial" w:hAnsi="Arial" w:cs="Arial"/>
          <w:color w:val="010000"/>
          <w:sz w:val="20"/>
          <w:szCs w:val="20"/>
        </w:rPr>
      </w:pPr>
      <w:r w:rsidRPr="007F0BED">
        <w:rPr>
          <w:rFonts w:ascii="Arial" w:hAnsi="Arial" w:cs="Arial"/>
          <w:color w:val="010000"/>
          <w:sz w:val="20"/>
        </w:rPr>
        <w:t>Plan for using capital after changing:</w:t>
      </w:r>
    </w:p>
    <w:p w14:paraId="35B29276" w14:textId="69657459"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 xml:space="preserve">Change the Plan for using capital with </w:t>
      </w:r>
      <w:r w:rsidR="007F0BED" w:rsidRPr="007F0BED">
        <w:rPr>
          <w:rFonts w:ascii="Arial" w:hAnsi="Arial" w:cs="Arial"/>
          <w:color w:val="010000"/>
          <w:sz w:val="20"/>
        </w:rPr>
        <w:t>a</w:t>
      </w:r>
      <w:r w:rsidRPr="007F0BED">
        <w:rPr>
          <w:rFonts w:ascii="Arial" w:hAnsi="Arial" w:cs="Arial"/>
          <w:color w:val="010000"/>
          <w:sz w:val="20"/>
        </w:rPr>
        <w:t xml:space="preserve"> value less than 50% of the proceeds from the issuance to </w:t>
      </w:r>
      <w:r w:rsidRPr="007F0BED">
        <w:rPr>
          <w:rFonts w:ascii="Arial" w:hAnsi="Arial" w:cs="Arial"/>
          <w:color w:val="010000"/>
          <w:sz w:val="20"/>
        </w:rPr>
        <w:lastRenderedPageBreak/>
        <w:t>supplement working capital to serve training business activities, details as follows:</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460"/>
        <w:gridCol w:w="1670"/>
        <w:gridCol w:w="3189"/>
      </w:tblGrid>
      <w:tr w:rsidR="00752C0F" w:rsidRPr="007F0BED" w14:paraId="7A196559" w14:textId="77777777" w:rsidTr="00581E29">
        <w:tc>
          <w:tcPr>
            <w:tcW w:w="388" w:type="pct"/>
            <w:shd w:val="clear" w:color="auto" w:fill="auto"/>
            <w:tcMar>
              <w:top w:w="0" w:type="dxa"/>
              <w:bottom w:w="0" w:type="dxa"/>
            </w:tcMar>
            <w:vAlign w:val="center"/>
          </w:tcPr>
          <w:p w14:paraId="1EA9910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No.</w:t>
            </w:r>
          </w:p>
        </w:tc>
        <w:tc>
          <w:tcPr>
            <w:tcW w:w="1918" w:type="pct"/>
            <w:shd w:val="clear" w:color="auto" w:fill="auto"/>
            <w:tcMar>
              <w:top w:w="0" w:type="dxa"/>
              <w:bottom w:w="0" w:type="dxa"/>
            </w:tcMar>
            <w:vAlign w:val="center"/>
          </w:tcPr>
          <w:p w14:paraId="6A2EBE45"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Expenses for training activities</w:t>
            </w:r>
          </w:p>
        </w:tc>
        <w:tc>
          <w:tcPr>
            <w:tcW w:w="926" w:type="pct"/>
            <w:shd w:val="clear" w:color="auto" w:fill="auto"/>
            <w:tcMar>
              <w:top w:w="0" w:type="dxa"/>
              <w:bottom w:w="0" w:type="dxa"/>
            </w:tcMar>
            <w:vAlign w:val="center"/>
          </w:tcPr>
          <w:p w14:paraId="1E464465"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Expected amount (VND)</w:t>
            </w:r>
          </w:p>
        </w:tc>
        <w:tc>
          <w:tcPr>
            <w:tcW w:w="1768" w:type="pct"/>
            <w:shd w:val="clear" w:color="auto" w:fill="auto"/>
            <w:tcMar>
              <w:top w:w="0" w:type="dxa"/>
              <w:bottom w:w="0" w:type="dxa"/>
            </w:tcMar>
            <w:vAlign w:val="center"/>
          </w:tcPr>
          <w:p w14:paraId="08BA9CAE"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Expected execution time:</w:t>
            </w:r>
          </w:p>
        </w:tc>
      </w:tr>
      <w:tr w:rsidR="00752C0F" w:rsidRPr="007F0BED" w14:paraId="63A9DC98" w14:textId="77777777" w:rsidTr="00581E29">
        <w:tc>
          <w:tcPr>
            <w:tcW w:w="388" w:type="pct"/>
            <w:shd w:val="clear" w:color="auto" w:fill="auto"/>
            <w:tcMar>
              <w:top w:w="0" w:type="dxa"/>
              <w:bottom w:w="0" w:type="dxa"/>
            </w:tcMar>
            <w:vAlign w:val="center"/>
          </w:tcPr>
          <w:p w14:paraId="3B51F2A1"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w:t>
            </w:r>
          </w:p>
        </w:tc>
        <w:tc>
          <w:tcPr>
            <w:tcW w:w="1918" w:type="pct"/>
            <w:shd w:val="clear" w:color="auto" w:fill="auto"/>
            <w:tcMar>
              <w:top w:w="0" w:type="dxa"/>
              <w:bottom w:w="0" w:type="dxa"/>
            </w:tcMar>
            <w:vAlign w:val="center"/>
          </w:tcPr>
          <w:p w14:paraId="51D5E886"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Labor expenses</w:t>
            </w:r>
          </w:p>
        </w:tc>
        <w:tc>
          <w:tcPr>
            <w:tcW w:w="926" w:type="pct"/>
            <w:shd w:val="clear" w:color="auto" w:fill="auto"/>
            <w:tcMar>
              <w:top w:w="0" w:type="dxa"/>
              <w:bottom w:w="0" w:type="dxa"/>
            </w:tcMar>
            <w:vAlign w:val="center"/>
          </w:tcPr>
          <w:p w14:paraId="164634F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1,000,000,000</w:t>
            </w:r>
          </w:p>
        </w:tc>
        <w:tc>
          <w:tcPr>
            <w:tcW w:w="1768" w:type="pct"/>
            <w:vMerge w:val="restart"/>
            <w:shd w:val="clear" w:color="auto" w:fill="auto"/>
            <w:tcMar>
              <w:top w:w="0" w:type="dxa"/>
              <w:bottom w:w="0" w:type="dxa"/>
            </w:tcMar>
            <w:vAlign w:val="center"/>
          </w:tcPr>
          <w:p w14:paraId="1E6A00B5"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From the time the Board Resolution approves changing the plan for using capital until the amount according to the spending limit is used up.</w:t>
            </w:r>
          </w:p>
        </w:tc>
      </w:tr>
      <w:tr w:rsidR="00752C0F" w:rsidRPr="007F0BED" w14:paraId="3FBC81EE" w14:textId="77777777" w:rsidTr="00581E29">
        <w:tc>
          <w:tcPr>
            <w:tcW w:w="388" w:type="pct"/>
            <w:shd w:val="clear" w:color="auto" w:fill="auto"/>
            <w:tcMar>
              <w:top w:w="0" w:type="dxa"/>
              <w:bottom w:w="0" w:type="dxa"/>
            </w:tcMar>
            <w:vAlign w:val="center"/>
          </w:tcPr>
          <w:p w14:paraId="06809FF2"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2</w:t>
            </w:r>
          </w:p>
        </w:tc>
        <w:tc>
          <w:tcPr>
            <w:tcW w:w="1918" w:type="pct"/>
            <w:shd w:val="clear" w:color="auto" w:fill="auto"/>
            <w:tcMar>
              <w:top w:w="0" w:type="dxa"/>
              <w:bottom w:w="0" w:type="dxa"/>
            </w:tcMar>
            <w:vAlign w:val="center"/>
          </w:tcPr>
          <w:p w14:paraId="0F84A989"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Advertising and marketing expenses</w:t>
            </w:r>
          </w:p>
        </w:tc>
        <w:tc>
          <w:tcPr>
            <w:tcW w:w="926" w:type="pct"/>
            <w:shd w:val="clear" w:color="auto" w:fill="auto"/>
            <w:tcMar>
              <w:top w:w="0" w:type="dxa"/>
              <w:bottom w:w="0" w:type="dxa"/>
            </w:tcMar>
            <w:vAlign w:val="center"/>
          </w:tcPr>
          <w:p w14:paraId="6F689D19"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6,500,000,000</w:t>
            </w:r>
          </w:p>
        </w:tc>
        <w:tc>
          <w:tcPr>
            <w:tcW w:w="1768" w:type="pct"/>
            <w:vMerge/>
            <w:shd w:val="clear" w:color="auto" w:fill="auto"/>
            <w:tcMar>
              <w:top w:w="0" w:type="dxa"/>
              <w:bottom w:w="0" w:type="dxa"/>
            </w:tcMar>
            <w:vAlign w:val="center"/>
          </w:tcPr>
          <w:p w14:paraId="1B5FA7FE" w14:textId="77777777" w:rsidR="00752C0F" w:rsidRPr="007F0BED" w:rsidRDefault="00752C0F" w:rsidP="00581E29">
            <w:pPr>
              <w:pBdr>
                <w:top w:val="nil"/>
                <w:left w:val="nil"/>
                <w:bottom w:val="nil"/>
                <w:right w:val="nil"/>
                <w:between w:val="nil"/>
              </w:pBdr>
              <w:spacing w:after="120" w:line="360" w:lineRule="auto"/>
              <w:rPr>
                <w:rFonts w:ascii="Arial" w:eastAsia="Arial" w:hAnsi="Arial" w:cs="Arial"/>
                <w:color w:val="010000"/>
                <w:sz w:val="20"/>
                <w:szCs w:val="20"/>
              </w:rPr>
            </w:pPr>
          </w:p>
        </w:tc>
      </w:tr>
      <w:tr w:rsidR="00752C0F" w:rsidRPr="007F0BED" w14:paraId="2CE664CE" w14:textId="77777777" w:rsidTr="00581E29">
        <w:tc>
          <w:tcPr>
            <w:tcW w:w="388" w:type="pct"/>
            <w:shd w:val="clear" w:color="auto" w:fill="auto"/>
            <w:tcMar>
              <w:top w:w="0" w:type="dxa"/>
              <w:bottom w:w="0" w:type="dxa"/>
            </w:tcMar>
            <w:vAlign w:val="center"/>
          </w:tcPr>
          <w:p w14:paraId="3DD16C51"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3</w:t>
            </w:r>
          </w:p>
        </w:tc>
        <w:tc>
          <w:tcPr>
            <w:tcW w:w="1918" w:type="pct"/>
            <w:shd w:val="clear" w:color="auto" w:fill="auto"/>
            <w:tcMar>
              <w:top w:w="0" w:type="dxa"/>
              <w:bottom w:w="0" w:type="dxa"/>
            </w:tcMar>
            <w:vAlign w:val="center"/>
          </w:tcPr>
          <w:p w14:paraId="263525A3"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Expenses for organizing classes and conferences</w:t>
            </w:r>
          </w:p>
        </w:tc>
        <w:tc>
          <w:tcPr>
            <w:tcW w:w="926" w:type="pct"/>
            <w:shd w:val="clear" w:color="auto" w:fill="auto"/>
            <w:tcMar>
              <w:top w:w="0" w:type="dxa"/>
              <w:bottom w:w="0" w:type="dxa"/>
            </w:tcMar>
            <w:vAlign w:val="center"/>
          </w:tcPr>
          <w:p w14:paraId="5FF19942"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1,000,000,000</w:t>
            </w:r>
          </w:p>
        </w:tc>
        <w:tc>
          <w:tcPr>
            <w:tcW w:w="1768" w:type="pct"/>
            <w:vMerge/>
            <w:shd w:val="clear" w:color="auto" w:fill="auto"/>
            <w:tcMar>
              <w:top w:w="0" w:type="dxa"/>
              <w:bottom w:w="0" w:type="dxa"/>
            </w:tcMar>
            <w:vAlign w:val="center"/>
          </w:tcPr>
          <w:p w14:paraId="529157E9" w14:textId="77777777" w:rsidR="00752C0F" w:rsidRPr="007F0BED" w:rsidRDefault="00752C0F" w:rsidP="00581E29">
            <w:pPr>
              <w:pBdr>
                <w:top w:val="nil"/>
                <w:left w:val="nil"/>
                <w:bottom w:val="nil"/>
                <w:right w:val="nil"/>
                <w:between w:val="nil"/>
              </w:pBdr>
              <w:spacing w:after="120" w:line="360" w:lineRule="auto"/>
              <w:rPr>
                <w:rFonts w:ascii="Arial" w:eastAsia="Arial" w:hAnsi="Arial" w:cs="Arial"/>
                <w:color w:val="010000"/>
                <w:sz w:val="20"/>
                <w:szCs w:val="20"/>
              </w:rPr>
            </w:pPr>
          </w:p>
        </w:tc>
      </w:tr>
      <w:tr w:rsidR="00752C0F" w:rsidRPr="007F0BED" w14:paraId="1365F929" w14:textId="77777777" w:rsidTr="00581E29">
        <w:tc>
          <w:tcPr>
            <w:tcW w:w="388" w:type="pct"/>
            <w:shd w:val="clear" w:color="auto" w:fill="auto"/>
            <w:tcMar>
              <w:top w:w="0" w:type="dxa"/>
              <w:bottom w:w="0" w:type="dxa"/>
            </w:tcMar>
            <w:vAlign w:val="center"/>
          </w:tcPr>
          <w:p w14:paraId="1DB6008A"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4</w:t>
            </w:r>
          </w:p>
        </w:tc>
        <w:tc>
          <w:tcPr>
            <w:tcW w:w="1918" w:type="pct"/>
            <w:shd w:val="clear" w:color="auto" w:fill="auto"/>
            <w:tcMar>
              <w:top w:w="0" w:type="dxa"/>
              <w:bottom w:w="0" w:type="dxa"/>
            </w:tcMar>
            <w:vAlign w:val="center"/>
          </w:tcPr>
          <w:p w14:paraId="6A3F6F78"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Expenses for documents, printing and receiving transaction guests and other related expenses</w:t>
            </w:r>
          </w:p>
        </w:tc>
        <w:tc>
          <w:tcPr>
            <w:tcW w:w="926" w:type="pct"/>
            <w:shd w:val="clear" w:color="auto" w:fill="auto"/>
            <w:tcMar>
              <w:top w:w="0" w:type="dxa"/>
              <w:bottom w:w="0" w:type="dxa"/>
            </w:tcMar>
            <w:vAlign w:val="center"/>
          </w:tcPr>
          <w:p w14:paraId="1EA4376C"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1,300,000,000</w:t>
            </w:r>
          </w:p>
        </w:tc>
        <w:tc>
          <w:tcPr>
            <w:tcW w:w="1768" w:type="pct"/>
            <w:vMerge/>
            <w:shd w:val="clear" w:color="auto" w:fill="auto"/>
            <w:tcMar>
              <w:top w:w="0" w:type="dxa"/>
              <w:bottom w:w="0" w:type="dxa"/>
            </w:tcMar>
            <w:vAlign w:val="center"/>
          </w:tcPr>
          <w:p w14:paraId="1CEEE222" w14:textId="77777777" w:rsidR="00752C0F" w:rsidRPr="007F0BED" w:rsidRDefault="00752C0F" w:rsidP="00581E29">
            <w:pPr>
              <w:pBdr>
                <w:top w:val="nil"/>
                <w:left w:val="nil"/>
                <w:bottom w:val="nil"/>
                <w:right w:val="nil"/>
                <w:between w:val="nil"/>
              </w:pBdr>
              <w:spacing w:after="120" w:line="360" w:lineRule="auto"/>
              <w:rPr>
                <w:rFonts w:ascii="Arial" w:eastAsia="Arial" w:hAnsi="Arial" w:cs="Arial"/>
                <w:color w:val="010000"/>
                <w:sz w:val="20"/>
                <w:szCs w:val="20"/>
              </w:rPr>
            </w:pPr>
          </w:p>
        </w:tc>
      </w:tr>
      <w:tr w:rsidR="00752C0F" w:rsidRPr="007F0BED" w14:paraId="28A0D822" w14:textId="77777777" w:rsidTr="00581E29">
        <w:tc>
          <w:tcPr>
            <w:tcW w:w="388" w:type="pct"/>
            <w:shd w:val="clear" w:color="auto" w:fill="auto"/>
            <w:tcMar>
              <w:top w:w="0" w:type="dxa"/>
              <w:bottom w:w="0" w:type="dxa"/>
            </w:tcMar>
            <w:vAlign w:val="center"/>
          </w:tcPr>
          <w:p w14:paraId="4A146652" w14:textId="77777777" w:rsidR="00752C0F" w:rsidRPr="007F0BED" w:rsidRDefault="00752C0F" w:rsidP="00581E29">
            <w:pPr>
              <w:tabs>
                <w:tab w:val="left" w:pos="432"/>
              </w:tabs>
              <w:spacing w:after="120" w:line="360" w:lineRule="auto"/>
              <w:rPr>
                <w:rFonts w:ascii="Arial" w:eastAsia="Arial" w:hAnsi="Arial" w:cs="Arial"/>
                <w:color w:val="010000"/>
                <w:sz w:val="20"/>
                <w:szCs w:val="20"/>
              </w:rPr>
            </w:pPr>
          </w:p>
        </w:tc>
        <w:tc>
          <w:tcPr>
            <w:tcW w:w="1918" w:type="pct"/>
            <w:shd w:val="clear" w:color="auto" w:fill="auto"/>
            <w:tcMar>
              <w:top w:w="0" w:type="dxa"/>
              <w:bottom w:w="0" w:type="dxa"/>
            </w:tcMar>
            <w:vAlign w:val="center"/>
          </w:tcPr>
          <w:p w14:paraId="0BA63C1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Total</w:t>
            </w:r>
          </w:p>
        </w:tc>
        <w:tc>
          <w:tcPr>
            <w:tcW w:w="926" w:type="pct"/>
            <w:shd w:val="clear" w:color="auto" w:fill="auto"/>
            <w:tcMar>
              <w:top w:w="0" w:type="dxa"/>
              <w:bottom w:w="0" w:type="dxa"/>
            </w:tcMar>
            <w:vAlign w:val="center"/>
          </w:tcPr>
          <w:p w14:paraId="035D2D0F" w14:textId="77777777" w:rsidR="00752C0F" w:rsidRPr="007F0BED" w:rsidRDefault="00581E29" w:rsidP="00581E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9,800,000,000</w:t>
            </w:r>
          </w:p>
        </w:tc>
        <w:tc>
          <w:tcPr>
            <w:tcW w:w="1768" w:type="pct"/>
            <w:vMerge/>
            <w:shd w:val="clear" w:color="auto" w:fill="auto"/>
            <w:tcMar>
              <w:top w:w="0" w:type="dxa"/>
              <w:bottom w:w="0" w:type="dxa"/>
            </w:tcMar>
            <w:vAlign w:val="center"/>
          </w:tcPr>
          <w:p w14:paraId="289649FB" w14:textId="77777777" w:rsidR="00752C0F" w:rsidRPr="007F0BED" w:rsidRDefault="00752C0F" w:rsidP="00581E29">
            <w:pPr>
              <w:pBdr>
                <w:top w:val="nil"/>
                <w:left w:val="nil"/>
                <w:bottom w:val="nil"/>
                <w:right w:val="nil"/>
                <w:between w:val="nil"/>
              </w:pBdr>
              <w:spacing w:after="120" w:line="360" w:lineRule="auto"/>
              <w:rPr>
                <w:rFonts w:ascii="Arial" w:eastAsia="Arial" w:hAnsi="Arial" w:cs="Arial"/>
                <w:color w:val="010000"/>
                <w:sz w:val="20"/>
                <w:szCs w:val="20"/>
              </w:rPr>
            </w:pPr>
          </w:p>
        </w:tc>
      </w:tr>
    </w:tbl>
    <w:p w14:paraId="3D9061CD" w14:textId="77777777" w:rsidR="00752C0F" w:rsidRPr="007F0BED" w:rsidRDefault="00581E29" w:rsidP="00581E29">
      <w:pPr>
        <w:keepNext/>
        <w:numPr>
          <w:ilvl w:val="0"/>
          <w:numId w:val="2"/>
        </w:numPr>
        <w:pBdr>
          <w:top w:val="nil"/>
          <w:left w:val="nil"/>
          <w:bottom w:val="nil"/>
          <w:right w:val="nil"/>
          <w:between w:val="nil"/>
        </w:pBdr>
        <w:tabs>
          <w:tab w:val="left" w:pos="432"/>
          <w:tab w:val="left" w:pos="629"/>
        </w:tabs>
        <w:spacing w:after="120" w:line="360" w:lineRule="auto"/>
        <w:rPr>
          <w:rFonts w:ascii="Arial" w:eastAsia="Arial" w:hAnsi="Arial" w:cs="Arial"/>
          <w:color w:val="010000"/>
          <w:sz w:val="20"/>
          <w:szCs w:val="20"/>
        </w:rPr>
      </w:pPr>
      <w:r w:rsidRPr="007F0BED">
        <w:rPr>
          <w:rFonts w:ascii="Arial" w:hAnsi="Arial" w:cs="Arial"/>
          <w:color w:val="010000"/>
          <w:sz w:val="20"/>
        </w:rPr>
        <w:t>Basis and reasons for changing the plan for using capital:</w:t>
      </w:r>
    </w:p>
    <w:p w14:paraId="6704B9F4" w14:textId="77777777" w:rsidR="00752C0F" w:rsidRPr="007F0BED" w:rsidRDefault="00581E29" w:rsidP="00581E29">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0BED">
        <w:rPr>
          <w:rFonts w:ascii="Arial" w:hAnsi="Arial" w:cs="Arial"/>
          <w:color w:val="010000"/>
          <w:sz w:val="20"/>
        </w:rPr>
        <w:t>Bases for changes:</w:t>
      </w:r>
    </w:p>
    <w:p w14:paraId="3B5EC698" w14:textId="742D658D" w:rsidR="00752C0F" w:rsidRPr="007F0BED" w:rsidRDefault="00581E29" w:rsidP="00D628A0">
      <w:pPr>
        <w:numPr>
          <w:ilvl w:val="0"/>
          <w:numId w:val="1"/>
        </w:numPr>
        <w:pBdr>
          <w:top w:val="nil"/>
          <w:left w:val="nil"/>
          <w:bottom w:val="nil"/>
          <w:right w:val="nil"/>
          <w:between w:val="nil"/>
        </w:pBdr>
        <w:tabs>
          <w:tab w:val="left" w:pos="432"/>
          <w:tab w:val="left" w:pos="881"/>
        </w:tabs>
        <w:spacing w:after="120" w:line="360" w:lineRule="auto"/>
        <w:jc w:val="both"/>
        <w:rPr>
          <w:rFonts w:ascii="Arial" w:eastAsia="Arial" w:hAnsi="Arial" w:cs="Arial"/>
          <w:color w:val="010000"/>
          <w:sz w:val="20"/>
          <w:szCs w:val="20"/>
        </w:rPr>
      </w:pPr>
      <w:r w:rsidRPr="007F0BED">
        <w:rPr>
          <w:rFonts w:ascii="Arial" w:hAnsi="Arial" w:cs="Arial"/>
          <w:color w:val="010000"/>
          <w:sz w:val="20"/>
        </w:rPr>
        <w:t>Pursuant to Clause 2, Article 9 of Decree No. 155/2020/ND-CP dated December 31, 2020 on detailing certain articles of the Law on Securities;</w:t>
      </w:r>
    </w:p>
    <w:p w14:paraId="3DF57FD9" w14:textId="6C7FD18A" w:rsidR="00752C0F" w:rsidRPr="007F0BED" w:rsidRDefault="00581E29" w:rsidP="00D628A0">
      <w:pPr>
        <w:numPr>
          <w:ilvl w:val="0"/>
          <w:numId w:val="1"/>
        </w:numPr>
        <w:pBdr>
          <w:top w:val="nil"/>
          <w:left w:val="nil"/>
          <w:bottom w:val="nil"/>
          <w:right w:val="nil"/>
          <w:between w:val="nil"/>
        </w:pBdr>
        <w:tabs>
          <w:tab w:val="left" w:pos="432"/>
          <w:tab w:val="left" w:pos="881"/>
        </w:tabs>
        <w:spacing w:after="120" w:line="360" w:lineRule="auto"/>
        <w:jc w:val="both"/>
        <w:rPr>
          <w:rFonts w:ascii="Arial" w:eastAsia="Arial" w:hAnsi="Arial" w:cs="Arial"/>
          <w:color w:val="010000"/>
          <w:sz w:val="20"/>
          <w:szCs w:val="20"/>
        </w:rPr>
      </w:pPr>
      <w:r w:rsidRPr="007F0BED">
        <w:rPr>
          <w:rFonts w:ascii="Arial" w:hAnsi="Arial" w:cs="Arial"/>
          <w:color w:val="010000"/>
          <w:sz w:val="20"/>
        </w:rPr>
        <w:t>In the Extraordinary General</w:t>
      </w:r>
      <w:r w:rsidR="007F0BED" w:rsidRPr="007F0BED">
        <w:rPr>
          <w:rFonts w:ascii="Arial" w:hAnsi="Arial" w:cs="Arial"/>
          <w:color w:val="010000"/>
          <w:sz w:val="20"/>
        </w:rPr>
        <w:t xml:space="preserve"> Mandate</w:t>
      </w:r>
      <w:r w:rsidRPr="007F0BED">
        <w:rPr>
          <w:rFonts w:ascii="Arial" w:hAnsi="Arial" w:cs="Arial"/>
          <w:color w:val="010000"/>
          <w:sz w:val="20"/>
        </w:rPr>
        <w:t xml:space="preserve"> No. 04/2022/NQ-DHDCDBTVLA dated September 14, 2022, Proposal No. 112/2022/</w:t>
      </w:r>
      <w:proofErr w:type="spellStart"/>
      <w:r w:rsidRPr="007F0BED">
        <w:rPr>
          <w:rFonts w:ascii="Arial" w:hAnsi="Arial" w:cs="Arial"/>
          <w:color w:val="010000"/>
          <w:sz w:val="20"/>
        </w:rPr>
        <w:t>TTr</w:t>
      </w:r>
      <w:proofErr w:type="spellEnd"/>
      <w:r w:rsidRPr="007F0BED">
        <w:rPr>
          <w:rFonts w:ascii="Arial" w:hAnsi="Arial" w:cs="Arial"/>
          <w:color w:val="010000"/>
          <w:sz w:val="20"/>
        </w:rPr>
        <w:t>-HDQTVLA dated August 15, 2022 on issuing additional shares for existing shareholders to increase charter capital. The Board of Directors was authorized by the General Meeting of Shareholders to change the use plan in accordance with the actual situation, ensuring compliance with the provisions of law.</w:t>
      </w:r>
    </w:p>
    <w:p w14:paraId="0E367E61" w14:textId="77777777" w:rsidR="00752C0F" w:rsidRPr="007F0BED" w:rsidRDefault="00581E29" w:rsidP="00D628A0">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Reason for the change:</w:t>
      </w:r>
    </w:p>
    <w:p w14:paraId="5B9AFAD8" w14:textId="3551D90D" w:rsidR="00752C0F" w:rsidRPr="007F0BED" w:rsidRDefault="00581E29" w:rsidP="00D628A0">
      <w:pPr>
        <w:pBdr>
          <w:top w:val="nil"/>
          <w:left w:val="nil"/>
          <w:bottom w:val="nil"/>
          <w:right w:val="nil"/>
          <w:between w:val="nil"/>
        </w:pBdr>
        <w:tabs>
          <w:tab w:val="left" w:pos="432"/>
          <w:tab w:val="left" w:pos="9170"/>
        </w:tabs>
        <w:spacing w:after="120" w:line="360" w:lineRule="auto"/>
        <w:jc w:val="both"/>
        <w:rPr>
          <w:rFonts w:ascii="Arial" w:eastAsia="Arial" w:hAnsi="Arial" w:cs="Arial"/>
          <w:color w:val="010000"/>
          <w:sz w:val="20"/>
          <w:szCs w:val="20"/>
        </w:rPr>
      </w:pPr>
      <w:r w:rsidRPr="007F0BED">
        <w:rPr>
          <w:rFonts w:ascii="Arial" w:hAnsi="Arial" w:cs="Arial"/>
          <w:color w:val="010000"/>
          <w:sz w:val="20"/>
        </w:rPr>
        <w:t xml:space="preserve">Because the prolonged impact of the </w:t>
      </w:r>
      <w:proofErr w:type="spellStart"/>
      <w:r w:rsidRPr="007F0BED">
        <w:rPr>
          <w:rFonts w:ascii="Arial" w:hAnsi="Arial" w:cs="Arial"/>
          <w:color w:val="010000"/>
          <w:sz w:val="20"/>
        </w:rPr>
        <w:t>covid</w:t>
      </w:r>
      <w:proofErr w:type="spellEnd"/>
      <w:r w:rsidRPr="007F0BED">
        <w:rPr>
          <w:rFonts w:ascii="Arial" w:hAnsi="Arial" w:cs="Arial"/>
          <w:color w:val="010000"/>
          <w:sz w:val="20"/>
        </w:rPr>
        <w:t xml:space="preserve"> </w:t>
      </w:r>
      <w:r w:rsidR="007F0BED" w:rsidRPr="007F0BED">
        <w:rPr>
          <w:rFonts w:ascii="Arial" w:hAnsi="Arial" w:cs="Arial"/>
          <w:color w:val="010000"/>
          <w:sz w:val="20"/>
        </w:rPr>
        <w:t>pandemic</w:t>
      </w:r>
      <w:r w:rsidRPr="007F0BED">
        <w:rPr>
          <w:rFonts w:ascii="Arial" w:hAnsi="Arial" w:cs="Arial"/>
          <w:color w:val="010000"/>
          <w:sz w:val="20"/>
        </w:rPr>
        <w:t xml:space="preserve"> and the world economic and political situation had a strong impact on our country's economic growth and production and business development, especially the Real Estate sector. </w:t>
      </w:r>
    </w:p>
    <w:p w14:paraId="639625BB"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 xml:space="preserve">In 2023, the Company also increased the opening of classes in Hanoi, Ho Chi Minh, </w:t>
      </w:r>
      <w:proofErr w:type="spellStart"/>
      <w:r w:rsidRPr="007F0BED">
        <w:rPr>
          <w:rFonts w:ascii="Arial" w:hAnsi="Arial" w:cs="Arial"/>
          <w:color w:val="010000"/>
          <w:sz w:val="20"/>
        </w:rPr>
        <w:t>Phu</w:t>
      </w:r>
      <w:proofErr w:type="spellEnd"/>
      <w:r w:rsidRPr="007F0BED">
        <w:rPr>
          <w:rFonts w:ascii="Arial" w:hAnsi="Arial" w:cs="Arial"/>
          <w:color w:val="010000"/>
          <w:sz w:val="20"/>
        </w:rPr>
        <w:t xml:space="preserve"> </w:t>
      </w:r>
      <w:proofErr w:type="spellStart"/>
      <w:r w:rsidRPr="007F0BED">
        <w:rPr>
          <w:rFonts w:ascii="Arial" w:hAnsi="Arial" w:cs="Arial"/>
          <w:color w:val="010000"/>
          <w:sz w:val="20"/>
        </w:rPr>
        <w:t>Quoc</w:t>
      </w:r>
      <w:proofErr w:type="spellEnd"/>
      <w:r w:rsidRPr="007F0BED">
        <w:rPr>
          <w:rFonts w:ascii="Arial" w:hAnsi="Arial" w:cs="Arial"/>
          <w:color w:val="010000"/>
          <w:sz w:val="20"/>
        </w:rPr>
        <w:t xml:space="preserve"> and some other provinces. However, the number of learners decreased significantly compared to that of 2022, leading to a decrease in revenue in 2023, especially in the market in Ho Chi Minh City and the southern provinces.</w:t>
      </w:r>
    </w:p>
    <w:p w14:paraId="12325B0A"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Due to developments in the domestic economic situation in 2023, VLA Company's training activities will be directly affected, leading to a lack of working capital for business activities in 2023 as well as the Company's following years. Due to lack of capital for business operations, the Company will also not have the opportunity to research and expand business markets and expand business lines in the following years.</w:t>
      </w:r>
    </w:p>
    <w:p w14:paraId="30DB5BE3"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On the other hand, the time for completing capital increase dossier procedures does not ensure the expected time plan</w:t>
      </w:r>
    </w:p>
    <w:p w14:paraId="6A60D15A" w14:textId="5D7A8A92"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lastRenderedPageBreak/>
        <w:t>Faced with the actual situation stated above, the Board of Directors considers that establishing a Branch in Ho Chi Minh City after successfully issuing capital is ineffective. Therefore, the Board of Directors agrees on the plan for using capital with a variable value of less than 50% of the proceeds from the issuance of additional shares to existing shareholders to supplement working capital for business activities, training and will submit it to the nearest General Meeting of Shareholders in accordance with regulations.</w:t>
      </w:r>
    </w:p>
    <w:p w14:paraId="1F4C6B40" w14:textId="77777777" w:rsidR="00752C0F" w:rsidRPr="007F0BED" w:rsidRDefault="00581E29" w:rsidP="00D628A0">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Article 2: Authorization:</w:t>
      </w:r>
    </w:p>
    <w:p w14:paraId="51BB2BE6"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The Board of Directors authorizes the Company’s Manager to implement the necessary works to complete the dossier and other related work at the request of the competent state agencies during the dossier appraisal process.</w:t>
      </w:r>
    </w:p>
    <w:p w14:paraId="148FF27F"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Article 3: Implementation and organization:</w:t>
      </w:r>
    </w:p>
    <w:p w14:paraId="7156A0BD" w14:textId="77777777"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This Resolution takes effect from the date of its signing.</w:t>
      </w:r>
    </w:p>
    <w:p w14:paraId="2361721E" w14:textId="2B15411F" w:rsidR="00752C0F" w:rsidRPr="007F0BED" w:rsidRDefault="00581E29" w:rsidP="00D628A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0BED">
        <w:rPr>
          <w:rFonts w:ascii="Arial" w:hAnsi="Arial" w:cs="Arial"/>
          <w:color w:val="010000"/>
          <w:sz w:val="20"/>
        </w:rPr>
        <w:t>Members of the Board of Directors, the Board of Managers, Departments in the Company, relevant organizations and individuals are responsible for implementing this Resolution in accordance with the Law and the Company's Charter.</w:t>
      </w:r>
      <w:bookmarkStart w:id="0" w:name="_GoBack"/>
      <w:bookmarkEnd w:id="0"/>
    </w:p>
    <w:sectPr w:rsidR="00752C0F" w:rsidRPr="007F0BED" w:rsidSect="00581E29">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5459"/>
    <w:multiLevelType w:val="multilevel"/>
    <w:tmpl w:val="44F0FB0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05022A"/>
    <w:multiLevelType w:val="multilevel"/>
    <w:tmpl w:val="7D767D5A"/>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7E163B"/>
    <w:multiLevelType w:val="multilevel"/>
    <w:tmpl w:val="F53EF4D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0F"/>
    <w:rsid w:val="00581E29"/>
    <w:rsid w:val="00752C0F"/>
    <w:rsid w:val="007F0BED"/>
    <w:rsid w:val="00D628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369C7"/>
  <w15:docId w15:val="{15EFB29A-9480-412F-9577-7431D8ED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A5354F"/>
      <w:sz w:val="20"/>
      <w:szCs w:val="20"/>
      <w:u w:val="none"/>
      <w:shd w:val="clear" w:color="auto" w:fill="auto"/>
    </w:rPr>
  </w:style>
  <w:style w:type="paragraph" w:customStyle="1" w:styleId="Vnbnnidung0">
    <w:name w:val="Văn bản nội dung"/>
    <w:basedOn w:val="Normal"/>
    <w:link w:val="Vnbnnidung"/>
    <w:pPr>
      <w:spacing w:line="259" w:lineRule="auto"/>
      <w:ind w:firstLine="20"/>
    </w:pPr>
    <w:rPr>
      <w:rFonts w:ascii="Times New Roman" w:eastAsia="Times New Roman" w:hAnsi="Times New Roman" w:cs="Times New Roman"/>
      <w:sz w:val="26"/>
      <w:szCs w:val="26"/>
    </w:rPr>
  </w:style>
  <w:style w:type="paragraph" w:customStyle="1" w:styleId="Tiu10">
    <w:name w:val="Tiêu đề #1"/>
    <w:basedOn w:val="Normal"/>
    <w:link w:val="Tiu1"/>
    <w:pPr>
      <w:spacing w:line="259" w:lineRule="auto"/>
      <w:ind w:firstLine="140"/>
      <w:outlineLvl w:val="0"/>
    </w:pPr>
    <w:rPr>
      <w:rFonts w:ascii="Times New Roman" w:eastAsia="Times New Roman" w:hAnsi="Times New Roman" w:cs="Times New Roman"/>
      <w:b/>
      <w:bCs/>
      <w:sz w:val="26"/>
      <w:szCs w:val="26"/>
    </w:rPr>
  </w:style>
  <w:style w:type="paragraph" w:customStyle="1" w:styleId="Khc0">
    <w:name w:val="Khác"/>
    <w:basedOn w:val="Normal"/>
    <w:link w:val="Khc"/>
    <w:pPr>
      <w:spacing w:line="259" w:lineRule="auto"/>
      <w:ind w:firstLine="2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line="334" w:lineRule="auto"/>
      <w:ind w:left="1420"/>
    </w:pPr>
    <w:rPr>
      <w:rFonts w:ascii="Times New Roman" w:eastAsia="Times New Roman" w:hAnsi="Times New Roman" w:cs="Times New Roman"/>
      <w:color w:val="A5354F"/>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q1wfAv5grl6w9BToAyqv67xxQ==">CgMxLjA4AHIhMVZ3cUhEdWNxV0hqbWFiTnNENFgyQTgtOHdaTG45U3hH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2024-02-22T07:11:00Z</dcterms:created>
  <dcterms:modified xsi:type="dcterms:W3CDTF">2024-02-23T06:51:00Z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788b5d740d13fe97ccb919d609a4a1848bc482f0d5c2935779cc1cbeb0801702</vt:lpwstr>
  </property>
</Properties>
</file>