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6C64" w14:textId="77777777" w:rsidR="00C44FED" w:rsidRPr="005D1BCA" w:rsidRDefault="00C44FED" w:rsidP="00604316">
      <w:pPr>
        <w:pStyle w:val="Vnbnnidung0"/>
        <w:spacing w:after="120" w:line="360" w:lineRule="auto"/>
        <w:jc w:val="both"/>
        <w:rPr>
          <w:rFonts w:ascii="Arial" w:hAnsi="Arial" w:cs="Arial"/>
          <w:b/>
          <w:bCs/>
          <w:color w:val="010000"/>
          <w:sz w:val="20"/>
        </w:rPr>
      </w:pPr>
      <w:bookmarkStart w:id="0" w:name="_GoBack"/>
      <w:r w:rsidRPr="005D1BCA">
        <w:rPr>
          <w:rFonts w:ascii="Arial" w:hAnsi="Arial" w:cs="Arial"/>
          <w:b/>
          <w:color w:val="010000"/>
          <w:sz w:val="20"/>
        </w:rPr>
        <w:t>PGN: Board Resolution</w:t>
      </w:r>
    </w:p>
    <w:p w14:paraId="3C7BFE76" w14:textId="77777777" w:rsidR="00F63725" w:rsidRPr="005D1BCA" w:rsidRDefault="00C44FED" w:rsidP="00604316">
      <w:pPr>
        <w:pStyle w:val="Vnbnnidung0"/>
        <w:spacing w:after="120" w:line="360" w:lineRule="auto"/>
        <w:jc w:val="both"/>
        <w:rPr>
          <w:rFonts w:ascii="Arial" w:hAnsi="Arial" w:cs="Arial"/>
          <w:bCs/>
          <w:color w:val="010000"/>
          <w:sz w:val="20"/>
        </w:rPr>
      </w:pPr>
      <w:r w:rsidRPr="005D1BCA">
        <w:rPr>
          <w:rFonts w:ascii="Arial" w:hAnsi="Arial" w:cs="Arial"/>
          <w:color w:val="010000"/>
          <w:sz w:val="20"/>
        </w:rPr>
        <w:t>On February 23, 2024, Plastic Additives Joint Stock Company announced Resolution No. 2302/2024/NQ- HDQT-PGN on approving the results of share issuance for dividend payment to existing shareholders; adjusting the Business Registration Certificate and amending the Charter; and additional depository registration and additional listing of shares as follows:</w:t>
      </w:r>
    </w:p>
    <w:p w14:paraId="7BDDCF4D" w14:textId="77777777" w:rsidR="00F63725" w:rsidRPr="005D1BCA" w:rsidRDefault="0090437B" w:rsidP="00604316">
      <w:pPr>
        <w:pStyle w:val="Tiu50"/>
        <w:keepNext/>
        <w:spacing w:after="120" w:line="360" w:lineRule="auto"/>
        <w:jc w:val="both"/>
        <w:outlineLvl w:val="9"/>
        <w:rPr>
          <w:rFonts w:ascii="Arial" w:hAnsi="Arial" w:cs="Arial"/>
          <w:b w:val="0"/>
          <w:color w:val="010000"/>
          <w:sz w:val="20"/>
        </w:rPr>
      </w:pPr>
      <w:r w:rsidRPr="005D1BCA">
        <w:rPr>
          <w:rFonts w:ascii="Arial" w:hAnsi="Arial" w:cs="Arial"/>
          <w:b w:val="0"/>
          <w:color w:val="010000"/>
          <w:sz w:val="20"/>
        </w:rPr>
        <w:t>Article 1: Approve the results of share issuance for dividend payment to existing shareholders, specifically as follows:</w:t>
      </w:r>
    </w:p>
    <w:p w14:paraId="0766C665" w14:textId="77777777" w:rsidR="00F63725" w:rsidRPr="005D1BCA" w:rsidRDefault="0090437B" w:rsidP="00604316">
      <w:pPr>
        <w:pStyle w:val="Vnbnnidung0"/>
        <w:numPr>
          <w:ilvl w:val="0"/>
          <w:numId w:val="1"/>
        </w:numPr>
        <w:tabs>
          <w:tab w:val="left" w:pos="658"/>
        </w:tabs>
        <w:spacing w:after="120" w:line="360" w:lineRule="auto"/>
        <w:jc w:val="both"/>
        <w:rPr>
          <w:rFonts w:ascii="Arial" w:hAnsi="Arial" w:cs="Arial"/>
          <w:color w:val="010000"/>
          <w:sz w:val="20"/>
        </w:rPr>
      </w:pPr>
      <w:r w:rsidRPr="005D1BCA">
        <w:rPr>
          <w:rFonts w:ascii="Arial" w:hAnsi="Arial" w:cs="Arial"/>
          <w:color w:val="010000"/>
          <w:sz w:val="20"/>
        </w:rPr>
        <w:t>Name of issued share: Shares of Plastic Additives Joint Stock Company</w:t>
      </w:r>
    </w:p>
    <w:p w14:paraId="0CD5C944" w14:textId="77777777" w:rsidR="00F63725" w:rsidRPr="005D1BCA" w:rsidRDefault="0090437B" w:rsidP="00604316">
      <w:pPr>
        <w:pStyle w:val="Vnbnnidung0"/>
        <w:numPr>
          <w:ilvl w:val="0"/>
          <w:numId w:val="1"/>
        </w:numPr>
        <w:tabs>
          <w:tab w:val="left" w:pos="658"/>
        </w:tabs>
        <w:spacing w:after="120" w:line="360" w:lineRule="auto"/>
        <w:jc w:val="both"/>
        <w:rPr>
          <w:rFonts w:ascii="Arial" w:hAnsi="Arial" w:cs="Arial"/>
          <w:color w:val="010000"/>
          <w:sz w:val="20"/>
        </w:rPr>
      </w:pPr>
      <w:r w:rsidRPr="005D1BCA">
        <w:rPr>
          <w:rFonts w:ascii="Arial" w:hAnsi="Arial" w:cs="Arial"/>
          <w:color w:val="010000"/>
          <w:sz w:val="20"/>
        </w:rPr>
        <w:t>Share type: common share</w:t>
      </w:r>
    </w:p>
    <w:p w14:paraId="0096EE81" w14:textId="77777777" w:rsidR="00F63725" w:rsidRPr="005D1BCA" w:rsidRDefault="0090437B" w:rsidP="00604316">
      <w:pPr>
        <w:pStyle w:val="Vnbnnidung0"/>
        <w:numPr>
          <w:ilvl w:val="0"/>
          <w:numId w:val="1"/>
        </w:numPr>
        <w:tabs>
          <w:tab w:val="left" w:pos="658"/>
        </w:tabs>
        <w:spacing w:after="120" w:line="360" w:lineRule="auto"/>
        <w:jc w:val="both"/>
        <w:rPr>
          <w:rFonts w:ascii="Arial" w:hAnsi="Arial" w:cs="Arial"/>
          <w:color w:val="010000"/>
          <w:sz w:val="20"/>
        </w:rPr>
      </w:pPr>
      <w:r w:rsidRPr="005D1BCA">
        <w:rPr>
          <w:rFonts w:ascii="Arial" w:hAnsi="Arial" w:cs="Arial"/>
          <w:color w:val="010000"/>
          <w:sz w:val="20"/>
        </w:rPr>
        <w:t>Par value: VND 10,000/share</w:t>
      </w:r>
    </w:p>
    <w:p w14:paraId="39487234" w14:textId="77777777" w:rsidR="00F63725"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Record date: January 29, 2024</w:t>
      </w:r>
    </w:p>
    <w:p w14:paraId="2B51F63B" w14:textId="77777777" w:rsidR="00F63725"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Total number of shares expected to be issued: 1,014,112 shares</w:t>
      </w:r>
    </w:p>
    <w:p w14:paraId="0260035D" w14:textId="24B08935" w:rsidR="00F63725"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 xml:space="preserve">Purpose: Issue shares to pay dividends in 2022 for existing shareholders </w:t>
      </w:r>
      <w:r w:rsidR="00992A79" w:rsidRPr="005D1BCA">
        <w:rPr>
          <w:rFonts w:ascii="Arial" w:hAnsi="Arial" w:cs="Arial"/>
          <w:color w:val="010000"/>
          <w:sz w:val="20"/>
        </w:rPr>
        <w:t>at</w:t>
      </w:r>
      <w:r w:rsidRPr="005D1BCA">
        <w:rPr>
          <w:rFonts w:ascii="Arial" w:hAnsi="Arial" w:cs="Arial"/>
          <w:color w:val="010000"/>
          <w:sz w:val="20"/>
        </w:rPr>
        <w:t xml:space="preserve"> the rate of 12%.</w:t>
      </w:r>
    </w:p>
    <w:p w14:paraId="386DB6AA" w14:textId="77777777" w:rsidR="00C44FED"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Total number of distributed shares: 1,013,919 shares, accounting for 99.98% of the total issued shares.</w:t>
      </w:r>
    </w:p>
    <w:p w14:paraId="64057438" w14:textId="77777777" w:rsidR="00C44FED"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Total value of issued shares at par value: VND 10,139,190,000.</w:t>
      </w:r>
    </w:p>
    <w:p w14:paraId="40487EBB" w14:textId="77777777" w:rsidR="00F63725"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The Company’s charter capital after the end of the issuance: VND 94,648,590,000.</w:t>
      </w:r>
    </w:p>
    <w:p w14:paraId="3832A579" w14:textId="77777777" w:rsidR="00F63725"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Article 2: Approve adjusting the Business Registration Certificate and amending the Charter of Organization and Operation of the Company according to the Company’s new Charter capital after completing the share issuance for dividend payment to existing shareholders, specifically</w:t>
      </w:r>
    </w:p>
    <w:p w14:paraId="0A02EF1F" w14:textId="77777777" w:rsidR="00F63725" w:rsidRPr="005D1BCA" w:rsidRDefault="0090437B" w:rsidP="00604316">
      <w:pPr>
        <w:pStyle w:val="Vnbnnidung0"/>
        <w:numPr>
          <w:ilvl w:val="0"/>
          <w:numId w:val="1"/>
        </w:numPr>
        <w:spacing w:after="120" w:line="360" w:lineRule="auto"/>
        <w:jc w:val="both"/>
        <w:rPr>
          <w:rFonts w:ascii="Arial" w:hAnsi="Arial" w:cs="Arial"/>
          <w:color w:val="010000"/>
          <w:sz w:val="20"/>
        </w:rPr>
      </w:pPr>
      <w:r w:rsidRPr="005D1BCA">
        <w:rPr>
          <w:rFonts w:ascii="Arial" w:hAnsi="Arial" w:cs="Arial"/>
          <w:color w:val="010000"/>
          <w:sz w:val="20"/>
        </w:rPr>
        <w:t>Implement procedures for adjusting the Business Registration Certificate of the Company issued by Vinh Phuc Department of Planning and Investment with the new charter capital of VND 94,648,590,000.</w:t>
      </w:r>
    </w:p>
    <w:p w14:paraId="2D9C3BC6" w14:textId="77777777" w:rsidR="00F63725" w:rsidRPr="005D1BCA" w:rsidRDefault="0090437B" w:rsidP="00604316">
      <w:pPr>
        <w:pStyle w:val="Vnbnnidung0"/>
        <w:numPr>
          <w:ilvl w:val="0"/>
          <w:numId w:val="1"/>
        </w:numPr>
        <w:spacing w:after="120" w:line="360" w:lineRule="auto"/>
        <w:jc w:val="both"/>
        <w:rPr>
          <w:rFonts w:ascii="Arial" w:hAnsi="Arial" w:cs="Arial"/>
          <w:color w:val="010000"/>
          <w:sz w:val="20"/>
        </w:rPr>
      </w:pPr>
      <w:r w:rsidRPr="005D1BCA">
        <w:rPr>
          <w:rFonts w:ascii="Arial" w:hAnsi="Arial" w:cs="Arial"/>
          <w:color w:val="010000"/>
          <w:sz w:val="20"/>
        </w:rPr>
        <w:t>Amend the Company’s Charter on organization and operation: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36"/>
        <w:gridCol w:w="3488"/>
        <w:gridCol w:w="3493"/>
      </w:tblGrid>
      <w:tr w:rsidR="00F63725" w:rsidRPr="005D1BCA" w14:paraId="4B01181D" w14:textId="77777777" w:rsidTr="00604316">
        <w:tc>
          <w:tcPr>
            <w:tcW w:w="1129" w:type="pct"/>
            <w:shd w:val="clear" w:color="auto" w:fill="auto"/>
            <w:vAlign w:val="center"/>
          </w:tcPr>
          <w:p w14:paraId="5DADE7A8"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Amended term</w:t>
            </w:r>
          </w:p>
        </w:tc>
        <w:tc>
          <w:tcPr>
            <w:tcW w:w="1934" w:type="pct"/>
            <w:shd w:val="clear" w:color="auto" w:fill="auto"/>
            <w:vAlign w:val="center"/>
          </w:tcPr>
          <w:p w14:paraId="739CF1DE"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Contents before adjustment</w:t>
            </w:r>
          </w:p>
        </w:tc>
        <w:tc>
          <w:tcPr>
            <w:tcW w:w="1937" w:type="pct"/>
            <w:shd w:val="clear" w:color="auto" w:fill="auto"/>
            <w:vAlign w:val="center"/>
          </w:tcPr>
          <w:p w14:paraId="66F7C9AE"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Contents after the amendment</w:t>
            </w:r>
          </w:p>
        </w:tc>
      </w:tr>
      <w:tr w:rsidR="00F63725" w:rsidRPr="005D1BCA" w14:paraId="1D8389FB" w14:textId="77777777" w:rsidTr="00604316">
        <w:tc>
          <w:tcPr>
            <w:tcW w:w="1129" w:type="pct"/>
            <w:shd w:val="clear" w:color="auto" w:fill="auto"/>
            <w:vAlign w:val="center"/>
          </w:tcPr>
          <w:p w14:paraId="0406ECB3"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Clause 1, Article 6</w:t>
            </w:r>
          </w:p>
        </w:tc>
        <w:tc>
          <w:tcPr>
            <w:tcW w:w="1934" w:type="pct"/>
            <w:shd w:val="clear" w:color="auto" w:fill="auto"/>
            <w:vAlign w:val="center"/>
          </w:tcPr>
          <w:p w14:paraId="18B3528A"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The Company’s charter capital is VND 84,509,400,000.</w:t>
            </w:r>
          </w:p>
          <w:p w14:paraId="327244DC"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The total charter capital of the Company is divided into 8,450,940 shares with a par value of VND 10,000/share.</w:t>
            </w:r>
          </w:p>
        </w:tc>
        <w:tc>
          <w:tcPr>
            <w:tcW w:w="1937" w:type="pct"/>
            <w:shd w:val="clear" w:color="auto" w:fill="auto"/>
            <w:vAlign w:val="center"/>
          </w:tcPr>
          <w:p w14:paraId="64C885C2"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The Company’s charter capital is VND 94,648,590,000.</w:t>
            </w:r>
          </w:p>
          <w:p w14:paraId="7BC05B82" w14:textId="77777777" w:rsidR="00F63725" w:rsidRPr="005D1BCA" w:rsidRDefault="0090437B" w:rsidP="00604316">
            <w:pPr>
              <w:pStyle w:val="Khc0"/>
              <w:spacing w:after="120" w:line="360" w:lineRule="auto"/>
              <w:rPr>
                <w:rFonts w:ascii="Arial" w:hAnsi="Arial" w:cs="Arial"/>
                <w:color w:val="010000"/>
                <w:sz w:val="20"/>
              </w:rPr>
            </w:pPr>
            <w:r w:rsidRPr="005D1BCA">
              <w:rPr>
                <w:rFonts w:ascii="Arial" w:hAnsi="Arial" w:cs="Arial"/>
                <w:color w:val="010000"/>
                <w:sz w:val="20"/>
              </w:rPr>
              <w:t>The total charter capital of the Company is distributed into 9,464,859 shares at the par value of VND 10,000/share.</w:t>
            </w:r>
          </w:p>
        </w:tc>
      </w:tr>
    </w:tbl>
    <w:p w14:paraId="5A51307B" w14:textId="77777777" w:rsidR="00FB713F"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Article 3: Approve the additional depository registration of securities at the Vietnam Securities Depository and Clearing Corporation and the additional listing of shares at the Hanoi Stock Exchange for the number of shares for dividend payment to existing shareholders.</w:t>
      </w:r>
    </w:p>
    <w:p w14:paraId="77BDD7C4" w14:textId="4E822231" w:rsidR="00FB713F"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lastRenderedPageBreak/>
        <w:t xml:space="preserve">All 1,013,919 issued shares shall be additionally registered for depository at </w:t>
      </w:r>
      <w:r w:rsidR="00992A79" w:rsidRPr="005D1BCA">
        <w:rPr>
          <w:rFonts w:ascii="Arial" w:hAnsi="Arial" w:cs="Arial"/>
          <w:color w:val="010000"/>
          <w:sz w:val="20"/>
        </w:rPr>
        <w:t xml:space="preserve">Vietnam </w:t>
      </w:r>
      <w:r w:rsidRPr="005D1BCA">
        <w:rPr>
          <w:rFonts w:ascii="Arial" w:hAnsi="Arial" w:cs="Arial"/>
          <w:color w:val="010000"/>
          <w:sz w:val="20"/>
        </w:rPr>
        <w:t xml:space="preserve">Securities Depository and Clearing Corporation and additionally listed at Hanoi Stock Exchange. </w:t>
      </w:r>
    </w:p>
    <w:p w14:paraId="490B686C" w14:textId="77777777" w:rsidR="00F63725" w:rsidRPr="005D1BCA" w:rsidRDefault="0090437B" w:rsidP="00604316">
      <w:pPr>
        <w:pStyle w:val="Vnbnnidung0"/>
        <w:numPr>
          <w:ilvl w:val="0"/>
          <w:numId w:val="1"/>
        </w:numPr>
        <w:tabs>
          <w:tab w:val="left" w:pos="662"/>
        </w:tabs>
        <w:spacing w:after="120" w:line="360" w:lineRule="auto"/>
        <w:jc w:val="both"/>
        <w:rPr>
          <w:rFonts w:ascii="Arial" w:hAnsi="Arial" w:cs="Arial"/>
          <w:color w:val="010000"/>
          <w:sz w:val="20"/>
        </w:rPr>
      </w:pPr>
      <w:r w:rsidRPr="005D1BCA">
        <w:rPr>
          <w:rFonts w:ascii="Arial" w:hAnsi="Arial" w:cs="Arial"/>
          <w:color w:val="010000"/>
          <w:sz w:val="20"/>
        </w:rPr>
        <w:t>Time for additional registration of securities and listing of shares: March 2024.</w:t>
      </w:r>
    </w:p>
    <w:p w14:paraId="55B1D891" w14:textId="77777777" w:rsidR="00F63725"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Article 4: Assign the General Manager to organize and complete the work according to this Board Resolution in accordance with the provisions of law, ensuring safe and effective benefits for shareholders.</w:t>
      </w:r>
    </w:p>
    <w:p w14:paraId="22CE0AA5" w14:textId="77777777" w:rsidR="00F63725"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Article 5: Terms of enforcement</w:t>
      </w:r>
    </w:p>
    <w:p w14:paraId="557B18DB" w14:textId="77777777" w:rsidR="00F63725"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Members of the Board of Directors, the Board of Management, the Supervisory Board and relevant departments and individuals are responsible for implementing this Resolution pursuant to current laws and the Company’s Charter.</w:t>
      </w:r>
    </w:p>
    <w:p w14:paraId="6E757D3F" w14:textId="69255C0A" w:rsidR="00C44FED" w:rsidRPr="005D1BCA" w:rsidRDefault="0090437B" w:rsidP="00604316">
      <w:pPr>
        <w:pStyle w:val="Vnbnnidung0"/>
        <w:spacing w:after="120" w:line="360" w:lineRule="auto"/>
        <w:jc w:val="both"/>
        <w:rPr>
          <w:rFonts w:ascii="Arial" w:hAnsi="Arial" w:cs="Arial"/>
          <w:color w:val="010000"/>
          <w:sz w:val="20"/>
        </w:rPr>
      </w:pPr>
      <w:r w:rsidRPr="005D1BCA">
        <w:rPr>
          <w:rFonts w:ascii="Arial" w:hAnsi="Arial" w:cs="Arial"/>
          <w:color w:val="010000"/>
          <w:sz w:val="20"/>
        </w:rPr>
        <w:t xml:space="preserve">This Resolution is approved by the Board of Directors and takes effect </w:t>
      </w:r>
      <w:r w:rsidR="00992A79" w:rsidRPr="005D1BCA">
        <w:rPr>
          <w:rFonts w:ascii="Arial" w:hAnsi="Arial" w:cs="Arial"/>
          <w:color w:val="010000"/>
          <w:sz w:val="20"/>
        </w:rPr>
        <w:t>from</w:t>
      </w:r>
      <w:r w:rsidRPr="005D1BCA">
        <w:rPr>
          <w:rFonts w:ascii="Arial" w:hAnsi="Arial" w:cs="Arial"/>
          <w:color w:val="010000"/>
          <w:sz w:val="20"/>
        </w:rPr>
        <w:t xml:space="preserve"> the date of its signing.</w:t>
      </w:r>
      <w:bookmarkEnd w:id="0"/>
    </w:p>
    <w:sectPr w:rsidR="00C44FED" w:rsidRPr="005D1BCA" w:rsidSect="00604316">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C079" w14:textId="77777777" w:rsidR="003A1B95" w:rsidRDefault="003A1B95">
      <w:r>
        <w:separator/>
      </w:r>
    </w:p>
  </w:endnote>
  <w:endnote w:type="continuationSeparator" w:id="0">
    <w:p w14:paraId="767BC8E5" w14:textId="77777777" w:rsidR="003A1B95" w:rsidRDefault="003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841E" w14:textId="77777777" w:rsidR="003A1B95" w:rsidRDefault="003A1B95"/>
  </w:footnote>
  <w:footnote w:type="continuationSeparator" w:id="0">
    <w:p w14:paraId="148897EE" w14:textId="77777777" w:rsidR="003A1B95" w:rsidRDefault="003A1B9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C81"/>
    <w:multiLevelType w:val="multilevel"/>
    <w:tmpl w:val="6C6A7FE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043D9F"/>
    <w:multiLevelType w:val="hybridMultilevel"/>
    <w:tmpl w:val="75304D4E"/>
    <w:lvl w:ilvl="0" w:tplc="D31EB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20432"/>
    <w:multiLevelType w:val="hybridMultilevel"/>
    <w:tmpl w:val="3338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872BA"/>
    <w:multiLevelType w:val="multilevel"/>
    <w:tmpl w:val="B85077D2"/>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1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25"/>
    <w:rsid w:val="000C747E"/>
    <w:rsid w:val="001C333F"/>
    <w:rsid w:val="003A1B95"/>
    <w:rsid w:val="005D1BCA"/>
    <w:rsid w:val="00604316"/>
    <w:rsid w:val="0090437B"/>
    <w:rsid w:val="00992A79"/>
    <w:rsid w:val="00C44FED"/>
    <w:rsid w:val="00F63725"/>
    <w:rsid w:val="00FB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6D170"/>
  <w15:docId w15:val="{35F7B667-40F8-4071-9518-6C66A11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9657B"/>
      <w:sz w:val="30"/>
      <w:szCs w:val="30"/>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color w:val="E9657B"/>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E9657B"/>
      <w:sz w:val="20"/>
      <w:szCs w:val="2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E9657B"/>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strike w:val="0"/>
      <w:color w:val="E9657B"/>
      <w:sz w:val="32"/>
      <w:szCs w:val="32"/>
      <w:u w:val="none"/>
      <w:shd w:val="clear" w:color="auto" w:fill="auto"/>
    </w:rPr>
  </w:style>
  <w:style w:type="paragraph" w:customStyle="1" w:styleId="Vnbnnidung0">
    <w:name w:val="Văn bản nội dung"/>
    <w:basedOn w:val="Normal"/>
    <w:link w:val="Vnbnnidung"/>
    <w:pPr>
      <w:spacing w:line="331"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14" w:lineRule="auto"/>
    </w:pPr>
    <w:rPr>
      <w:rFonts w:ascii="Arial" w:eastAsia="Arial" w:hAnsi="Arial" w:cs="Arial"/>
      <w:color w:val="E9657B"/>
      <w:sz w:val="30"/>
      <w:szCs w:val="30"/>
    </w:rPr>
  </w:style>
  <w:style w:type="paragraph" w:customStyle="1" w:styleId="Tiu30">
    <w:name w:val="Tiêu đề #3"/>
    <w:basedOn w:val="Normal"/>
    <w:link w:val="Tiu3"/>
    <w:pPr>
      <w:spacing w:line="235" w:lineRule="auto"/>
      <w:outlineLvl w:val="2"/>
    </w:pPr>
    <w:rPr>
      <w:rFonts w:ascii="Arial" w:eastAsia="Arial" w:hAnsi="Arial" w:cs="Arial"/>
      <w:color w:val="E9657B"/>
      <w:sz w:val="26"/>
      <w:szCs w:val="26"/>
    </w:rPr>
  </w:style>
  <w:style w:type="paragraph" w:customStyle="1" w:styleId="Khc0">
    <w:name w:val="Khác"/>
    <w:basedOn w:val="Normal"/>
    <w:link w:val="Khc"/>
    <w:pPr>
      <w:spacing w:line="331" w:lineRule="auto"/>
    </w:pPr>
    <w:rPr>
      <w:rFonts w:ascii="Times New Roman" w:eastAsia="Times New Roman" w:hAnsi="Times New Roman" w:cs="Times New Roman"/>
      <w:sz w:val="22"/>
      <w:szCs w:val="22"/>
    </w:rPr>
  </w:style>
  <w:style w:type="paragraph" w:customStyle="1" w:styleId="Tiu50">
    <w:name w:val="Tiêu đề #5"/>
    <w:basedOn w:val="Normal"/>
    <w:link w:val="Tiu5"/>
    <w:pPr>
      <w:spacing w:line="334" w:lineRule="auto"/>
      <w:outlineLvl w:val="4"/>
    </w:pPr>
    <w:rPr>
      <w:rFonts w:ascii="Times New Roman" w:eastAsia="Times New Roman" w:hAnsi="Times New Roman" w:cs="Times New Roman"/>
      <w:b/>
      <w:bCs/>
      <w:sz w:val="22"/>
      <w:szCs w:val="22"/>
    </w:rPr>
  </w:style>
  <w:style w:type="paragraph" w:customStyle="1" w:styleId="Tiu40">
    <w:name w:val="Tiêu đề #4"/>
    <w:basedOn w:val="Normal"/>
    <w:link w:val="Tiu4"/>
    <w:pPr>
      <w:spacing w:line="276" w:lineRule="auto"/>
      <w:jc w:val="center"/>
      <w:outlineLvl w:val="3"/>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 w:type="paragraph" w:customStyle="1" w:styleId="Vnbnnidung30">
    <w:name w:val="Văn bản nội dung (3)"/>
    <w:basedOn w:val="Normal"/>
    <w:link w:val="Vnbnnidung3"/>
    <w:rPr>
      <w:rFonts w:ascii="Arial" w:eastAsia="Arial" w:hAnsi="Arial" w:cs="Arial"/>
      <w:color w:val="E9657B"/>
      <w:sz w:val="20"/>
      <w:szCs w:val="20"/>
    </w:rPr>
  </w:style>
  <w:style w:type="paragraph" w:customStyle="1" w:styleId="Tiu20">
    <w:name w:val="Tiêu đề #2"/>
    <w:basedOn w:val="Normal"/>
    <w:link w:val="Tiu2"/>
    <w:pPr>
      <w:jc w:val="center"/>
      <w:outlineLvl w:val="1"/>
    </w:pPr>
    <w:rPr>
      <w:rFonts w:ascii="Arial" w:eastAsia="Arial" w:hAnsi="Arial" w:cs="Arial"/>
      <w:color w:val="E9657B"/>
      <w:sz w:val="30"/>
      <w:szCs w:val="30"/>
    </w:rPr>
  </w:style>
  <w:style w:type="paragraph" w:customStyle="1" w:styleId="Tiu10">
    <w:name w:val="Tiêu đề #1"/>
    <w:basedOn w:val="Normal"/>
    <w:link w:val="Tiu1"/>
    <w:pPr>
      <w:outlineLvl w:val="0"/>
    </w:pPr>
    <w:rPr>
      <w:rFonts w:ascii="Times New Roman" w:eastAsia="Times New Roman" w:hAnsi="Times New Roman" w:cs="Times New Roman"/>
      <w:i/>
      <w:iCs/>
      <w:smallCaps/>
      <w:color w:val="E9657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2652</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5</cp:revision>
  <dcterms:created xsi:type="dcterms:W3CDTF">2024-02-27T01:22:00Z</dcterms:created>
  <dcterms:modified xsi:type="dcterms:W3CDTF">2024-02-27T01:33:00Z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58150c7e0a775cde755e86ff45684c8451d8844f46d50d337b4c970e1fae827d</vt:lpwstr>
  </property>
</Properties>
</file>