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6765" w14:textId="77777777" w:rsidR="00862F26" w:rsidRPr="00DE7C27" w:rsidRDefault="00956E64" w:rsidP="00956E64">
      <w:pPr>
        <w:pBdr>
          <w:top w:val="nil"/>
          <w:left w:val="nil"/>
          <w:bottom w:val="nil"/>
          <w:right w:val="nil"/>
          <w:between w:val="nil"/>
        </w:pBdr>
        <w:tabs>
          <w:tab w:val="left" w:pos="4489"/>
        </w:tabs>
        <w:spacing w:after="120" w:line="360" w:lineRule="auto"/>
        <w:jc w:val="both"/>
        <w:rPr>
          <w:rFonts w:ascii="Arial" w:eastAsia="Arial" w:hAnsi="Arial" w:cs="Arial"/>
          <w:b/>
          <w:color w:val="010000"/>
          <w:sz w:val="20"/>
          <w:szCs w:val="20"/>
        </w:rPr>
      </w:pPr>
      <w:r w:rsidRPr="00DE7C27">
        <w:rPr>
          <w:rFonts w:ascii="Arial" w:hAnsi="Arial" w:cs="Arial"/>
          <w:b/>
          <w:color w:val="010000"/>
          <w:sz w:val="20"/>
        </w:rPr>
        <w:t>DDG: Board Resolution</w:t>
      </w:r>
    </w:p>
    <w:p w14:paraId="5E7D4690" w14:textId="31567B6A" w:rsidR="00862F26" w:rsidRPr="00DE7C27" w:rsidRDefault="00956E64" w:rsidP="00956E64">
      <w:pPr>
        <w:pBdr>
          <w:top w:val="nil"/>
          <w:left w:val="nil"/>
          <w:bottom w:val="nil"/>
          <w:right w:val="nil"/>
          <w:between w:val="nil"/>
        </w:pBdr>
        <w:tabs>
          <w:tab w:val="left" w:pos="4489"/>
        </w:tabs>
        <w:spacing w:after="120" w:line="360" w:lineRule="auto"/>
        <w:jc w:val="both"/>
        <w:rPr>
          <w:rFonts w:ascii="Arial" w:eastAsia="Arial" w:hAnsi="Arial" w:cs="Arial"/>
          <w:color w:val="010000"/>
          <w:sz w:val="20"/>
          <w:szCs w:val="20"/>
        </w:rPr>
      </w:pPr>
      <w:r w:rsidRPr="00DE7C27">
        <w:rPr>
          <w:rFonts w:ascii="Arial" w:hAnsi="Arial" w:cs="Arial"/>
          <w:color w:val="010000"/>
          <w:sz w:val="20"/>
        </w:rPr>
        <w:t xml:space="preserve">On February 23, 2024, Indochine Import Export Investment Industrial Joint Stock Company </w:t>
      </w:r>
      <w:r w:rsidR="00DE7C27" w:rsidRPr="00DE7C27">
        <w:rPr>
          <w:rFonts w:ascii="Arial" w:hAnsi="Arial" w:cs="Arial"/>
          <w:color w:val="010000"/>
          <w:sz w:val="20"/>
        </w:rPr>
        <w:t>announced</w:t>
      </w:r>
      <w:r w:rsidRPr="00DE7C27">
        <w:rPr>
          <w:rFonts w:ascii="Arial" w:hAnsi="Arial" w:cs="Arial"/>
          <w:color w:val="010000"/>
          <w:sz w:val="20"/>
        </w:rPr>
        <w:t xml:space="preserve"> Resolution No. 2302/2024/DDG/NQ-HDQT on adjusting the plan to use capital obtained from the </w:t>
      </w:r>
      <w:r w:rsidR="00DE7C27" w:rsidRPr="00DE7C27">
        <w:rPr>
          <w:rFonts w:ascii="Arial" w:hAnsi="Arial" w:cs="Arial"/>
          <w:color w:val="010000"/>
          <w:sz w:val="20"/>
        </w:rPr>
        <w:t>private placement</w:t>
      </w:r>
      <w:r w:rsidRPr="00DE7C27">
        <w:rPr>
          <w:rFonts w:ascii="Arial" w:hAnsi="Arial" w:cs="Arial"/>
          <w:color w:val="010000"/>
          <w:sz w:val="20"/>
        </w:rPr>
        <w:t xml:space="preserve"> to increase charter capital in 2023 as follows:</w:t>
      </w:r>
    </w:p>
    <w:p w14:paraId="0708E55F" w14:textId="1BAF3E3C" w:rsidR="00862F26" w:rsidRPr="00DE7C27" w:rsidRDefault="00956E64" w:rsidP="00956E64">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sidRPr="00DE7C27">
        <w:rPr>
          <w:rFonts w:ascii="Arial" w:hAnsi="Arial" w:cs="Arial"/>
          <w:color w:val="010000"/>
          <w:sz w:val="20"/>
        </w:rPr>
        <w:t xml:space="preserve">Article 1: Approve the adjustment of the plan on </w:t>
      </w:r>
      <w:r w:rsidR="00DE7C27" w:rsidRPr="00DE7C27">
        <w:rPr>
          <w:rFonts w:ascii="Arial" w:hAnsi="Arial" w:cs="Arial"/>
          <w:color w:val="010000"/>
          <w:sz w:val="20"/>
        </w:rPr>
        <w:t xml:space="preserve">the </w:t>
      </w:r>
      <w:r w:rsidRPr="00DE7C27">
        <w:rPr>
          <w:rFonts w:ascii="Arial" w:hAnsi="Arial" w:cs="Arial"/>
          <w:color w:val="010000"/>
          <w:sz w:val="20"/>
        </w:rPr>
        <w:t xml:space="preserve">use of capital from the </w:t>
      </w:r>
      <w:r w:rsidR="00DE7C27" w:rsidRPr="00DE7C27">
        <w:rPr>
          <w:rFonts w:ascii="Arial" w:hAnsi="Arial" w:cs="Arial"/>
          <w:color w:val="010000"/>
          <w:sz w:val="20"/>
        </w:rPr>
        <w:t>private placement</w:t>
      </w:r>
      <w:r w:rsidRPr="00DE7C27">
        <w:rPr>
          <w:rFonts w:ascii="Arial" w:hAnsi="Arial" w:cs="Arial"/>
          <w:color w:val="010000"/>
          <w:sz w:val="20"/>
        </w:rPr>
        <w:t xml:space="preserve"> to increase charter capital in 2023:</w:t>
      </w:r>
    </w:p>
    <w:p w14:paraId="7B5425EE" w14:textId="4550C577" w:rsidR="00862F26" w:rsidRPr="00DE7C27" w:rsidRDefault="00956E64" w:rsidP="00956E64">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DE7C27">
        <w:rPr>
          <w:rFonts w:ascii="Arial" w:hAnsi="Arial" w:cs="Arial"/>
          <w:color w:val="010000"/>
          <w:sz w:val="20"/>
        </w:rPr>
        <w:t xml:space="preserve">The plan to use the amount from the </w:t>
      </w:r>
      <w:r w:rsidR="00DE7C27" w:rsidRPr="00DE7C27">
        <w:rPr>
          <w:rFonts w:ascii="Arial" w:hAnsi="Arial" w:cs="Arial"/>
          <w:color w:val="010000"/>
          <w:sz w:val="20"/>
        </w:rPr>
        <w:t>private placement</w:t>
      </w:r>
      <w:r w:rsidRPr="00DE7C27">
        <w:rPr>
          <w:rFonts w:ascii="Arial" w:hAnsi="Arial" w:cs="Arial"/>
          <w:color w:val="010000"/>
          <w:sz w:val="20"/>
        </w:rPr>
        <w:t xml:space="preserve"> to increase charter capital in 2023</w:t>
      </w:r>
      <w:r w:rsidR="00DE7C27" w:rsidRPr="00DE7C27">
        <w:rPr>
          <w:rFonts w:ascii="Arial" w:hAnsi="Arial" w:cs="Arial"/>
          <w:color w:val="010000"/>
          <w:sz w:val="20"/>
        </w:rPr>
        <w:t xml:space="preserve"> that</w:t>
      </w:r>
      <w:r w:rsidRPr="00DE7C27">
        <w:rPr>
          <w:rFonts w:ascii="Arial" w:hAnsi="Arial" w:cs="Arial"/>
          <w:color w:val="010000"/>
          <w:sz w:val="20"/>
        </w:rPr>
        <w:t xml:space="preserve"> was approved:</w:t>
      </w:r>
    </w:p>
    <w:tbl>
      <w:tblPr>
        <w:tblStyle w:v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36"/>
        <w:gridCol w:w="6040"/>
        <w:gridCol w:w="2141"/>
      </w:tblGrid>
      <w:tr w:rsidR="00862F26" w:rsidRPr="00DE7C27" w14:paraId="34E08E9A" w14:textId="77777777" w:rsidTr="00956E64">
        <w:tc>
          <w:tcPr>
            <w:tcW w:w="464" w:type="pct"/>
            <w:shd w:val="clear" w:color="auto" w:fill="auto"/>
            <w:tcMar>
              <w:top w:w="0" w:type="dxa"/>
              <w:bottom w:w="0" w:type="dxa"/>
            </w:tcMar>
            <w:vAlign w:val="center"/>
          </w:tcPr>
          <w:p w14:paraId="6640130B"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No.</w:t>
            </w:r>
          </w:p>
        </w:tc>
        <w:tc>
          <w:tcPr>
            <w:tcW w:w="3349" w:type="pct"/>
            <w:shd w:val="clear" w:color="auto" w:fill="auto"/>
            <w:tcMar>
              <w:top w:w="0" w:type="dxa"/>
              <w:bottom w:w="0" w:type="dxa"/>
            </w:tcMar>
            <w:vAlign w:val="center"/>
          </w:tcPr>
          <w:p w14:paraId="4327894D"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Items</w:t>
            </w:r>
          </w:p>
        </w:tc>
        <w:tc>
          <w:tcPr>
            <w:tcW w:w="1187" w:type="pct"/>
            <w:shd w:val="clear" w:color="auto" w:fill="auto"/>
            <w:tcMar>
              <w:top w:w="0" w:type="dxa"/>
              <w:bottom w:w="0" w:type="dxa"/>
            </w:tcMar>
            <w:vAlign w:val="center"/>
          </w:tcPr>
          <w:p w14:paraId="5ECB35EC"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Amount (VND)</w:t>
            </w:r>
          </w:p>
        </w:tc>
      </w:tr>
      <w:tr w:rsidR="00862F26" w:rsidRPr="00DE7C27" w14:paraId="5CB13A31" w14:textId="77777777" w:rsidTr="00956E64">
        <w:tc>
          <w:tcPr>
            <w:tcW w:w="464" w:type="pct"/>
            <w:shd w:val="clear" w:color="auto" w:fill="auto"/>
            <w:tcMar>
              <w:top w:w="0" w:type="dxa"/>
              <w:bottom w:w="0" w:type="dxa"/>
            </w:tcMar>
            <w:vAlign w:val="center"/>
          </w:tcPr>
          <w:p w14:paraId="25CB8B0E"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1</w:t>
            </w:r>
          </w:p>
        </w:tc>
        <w:tc>
          <w:tcPr>
            <w:tcW w:w="3349" w:type="pct"/>
            <w:shd w:val="clear" w:color="auto" w:fill="auto"/>
            <w:tcMar>
              <w:top w:w="0" w:type="dxa"/>
              <w:bottom w:w="0" w:type="dxa"/>
            </w:tcMar>
            <w:vAlign w:val="center"/>
          </w:tcPr>
          <w:p w14:paraId="0CA25B26" w14:textId="77777777" w:rsidR="00862F26" w:rsidRPr="00DE7C27" w:rsidRDefault="00956E64" w:rsidP="00956E64">
            <w:pPr>
              <w:pBdr>
                <w:top w:val="nil"/>
                <w:left w:val="nil"/>
                <w:bottom w:val="nil"/>
                <w:right w:val="nil"/>
                <w:between w:val="nil"/>
              </w:pBdr>
              <w:spacing w:after="120" w:line="360" w:lineRule="auto"/>
              <w:rPr>
                <w:rFonts w:ascii="Arial" w:eastAsia="Arial" w:hAnsi="Arial" w:cs="Arial"/>
                <w:color w:val="010000"/>
                <w:sz w:val="20"/>
                <w:szCs w:val="20"/>
              </w:rPr>
            </w:pPr>
            <w:r w:rsidRPr="00DE7C27">
              <w:rPr>
                <w:rFonts w:ascii="Arial" w:hAnsi="Arial" w:cs="Arial"/>
                <w:color w:val="010000"/>
                <w:sz w:val="20"/>
              </w:rPr>
              <w:t>Bank loan payment</w:t>
            </w:r>
          </w:p>
        </w:tc>
        <w:tc>
          <w:tcPr>
            <w:tcW w:w="1187" w:type="pct"/>
            <w:shd w:val="clear" w:color="auto" w:fill="auto"/>
            <w:tcMar>
              <w:top w:w="0" w:type="dxa"/>
              <w:bottom w:w="0" w:type="dxa"/>
            </w:tcMar>
            <w:vAlign w:val="center"/>
          </w:tcPr>
          <w:p w14:paraId="4B8F8A16"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200,000,000,000</w:t>
            </w:r>
          </w:p>
        </w:tc>
      </w:tr>
      <w:tr w:rsidR="00862F26" w:rsidRPr="00DE7C27" w14:paraId="47BD896F" w14:textId="77777777" w:rsidTr="00956E64">
        <w:tc>
          <w:tcPr>
            <w:tcW w:w="464" w:type="pct"/>
            <w:shd w:val="clear" w:color="auto" w:fill="auto"/>
            <w:tcMar>
              <w:top w:w="0" w:type="dxa"/>
              <w:bottom w:w="0" w:type="dxa"/>
            </w:tcMar>
            <w:vAlign w:val="center"/>
          </w:tcPr>
          <w:p w14:paraId="16125F97" w14:textId="77777777" w:rsidR="00862F26" w:rsidRPr="00DE7C27" w:rsidRDefault="00862F26" w:rsidP="00956E64">
            <w:pPr>
              <w:spacing w:after="120" w:line="360" w:lineRule="auto"/>
              <w:rPr>
                <w:rFonts w:ascii="Arial" w:eastAsia="Arial" w:hAnsi="Arial" w:cs="Arial"/>
                <w:color w:val="010000"/>
                <w:sz w:val="20"/>
                <w:szCs w:val="20"/>
              </w:rPr>
            </w:pPr>
          </w:p>
        </w:tc>
        <w:tc>
          <w:tcPr>
            <w:tcW w:w="3349" w:type="pct"/>
            <w:shd w:val="clear" w:color="auto" w:fill="auto"/>
            <w:tcMar>
              <w:top w:w="0" w:type="dxa"/>
              <w:bottom w:w="0" w:type="dxa"/>
            </w:tcMar>
            <w:vAlign w:val="center"/>
          </w:tcPr>
          <w:p w14:paraId="59E9EC03"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Total</w:t>
            </w:r>
          </w:p>
        </w:tc>
        <w:tc>
          <w:tcPr>
            <w:tcW w:w="1187" w:type="pct"/>
            <w:shd w:val="clear" w:color="auto" w:fill="auto"/>
            <w:tcMar>
              <w:top w:w="0" w:type="dxa"/>
              <w:bottom w:w="0" w:type="dxa"/>
            </w:tcMar>
            <w:vAlign w:val="center"/>
          </w:tcPr>
          <w:p w14:paraId="7E1005DA"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200,000,000,000</w:t>
            </w:r>
          </w:p>
        </w:tc>
      </w:tr>
    </w:tbl>
    <w:p w14:paraId="4D4E504C" w14:textId="13B8CDB0" w:rsidR="00862F26" w:rsidRPr="00DE7C27" w:rsidRDefault="00956E64" w:rsidP="00956E64">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DE7C27">
        <w:rPr>
          <w:rFonts w:ascii="Arial" w:hAnsi="Arial" w:cs="Arial"/>
          <w:color w:val="010000"/>
          <w:sz w:val="20"/>
        </w:rPr>
        <w:t>Change</w:t>
      </w:r>
      <w:r w:rsidR="00DE7C27" w:rsidRPr="00DE7C27">
        <w:rPr>
          <w:rFonts w:ascii="Arial" w:hAnsi="Arial" w:cs="Arial"/>
          <w:color w:val="010000"/>
          <w:sz w:val="20"/>
        </w:rPr>
        <w:t>d</w:t>
      </w:r>
      <w:r w:rsidRPr="00DE7C27">
        <w:rPr>
          <w:rFonts w:ascii="Arial" w:hAnsi="Arial" w:cs="Arial"/>
          <w:color w:val="010000"/>
          <w:sz w:val="20"/>
        </w:rPr>
        <w:t xml:space="preserve"> plan (adjustment):</w:t>
      </w:r>
    </w:p>
    <w:tbl>
      <w:tblPr>
        <w:tblStyle w:v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37"/>
        <w:gridCol w:w="6036"/>
        <w:gridCol w:w="2144"/>
      </w:tblGrid>
      <w:tr w:rsidR="00862F26" w:rsidRPr="00DE7C27" w14:paraId="1E995887" w14:textId="77777777" w:rsidTr="00956E64">
        <w:tc>
          <w:tcPr>
            <w:tcW w:w="464" w:type="pct"/>
            <w:shd w:val="clear" w:color="auto" w:fill="auto"/>
            <w:tcMar>
              <w:top w:w="0" w:type="dxa"/>
              <w:bottom w:w="0" w:type="dxa"/>
            </w:tcMar>
            <w:vAlign w:val="center"/>
          </w:tcPr>
          <w:p w14:paraId="506B5FCE"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No.</w:t>
            </w:r>
          </w:p>
        </w:tc>
        <w:tc>
          <w:tcPr>
            <w:tcW w:w="3347" w:type="pct"/>
            <w:shd w:val="clear" w:color="auto" w:fill="auto"/>
            <w:tcMar>
              <w:top w:w="0" w:type="dxa"/>
              <w:bottom w:w="0" w:type="dxa"/>
            </w:tcMar>
            <w:vAlign w:val="center"/>
          </w:tcPr>
          <w:p w14:paraId="424746C4"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Items</w:t>
            </w:r>
          </w:p>
        </w:tc>
        <w:tc>
          <w:tcPr>
            <w:tcW w:w="1189" w:type="pct"/>
            <w:shd w:val="clear" w:color="auto" w:fill="auto"/>
            <w:tcMar>
              <w:top w:w="0" w:type="dxa"/>
              <w:bottom w:w="0" w:type="dxa"/>
            </w:tcMar>
            <w:vAlign w:val="center"/>
          </w:tcPr>
          <w:p w14:paraId="43729A61"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Amount (VND)</w:t>
            </w:r>
          </w:p>
        </w:tc>
      </w:tr>
      <w:tr w:rsidR="00862F26" w:rsidRPr="00DE7C27" w14:paraId="0A2762E0" w14:textId="77777777" w:rsidTr="00956E64">
        <w:tc>
          <w:tcPr>
            <w:tcW w:w="464" w:type="pct"/>
            <w:shd w:val="clear" w:color="auto" w:fill="auto"/>
            <w:tcMar>
              <w:top w:w="0" w:type="dxa"/>
              <w:bottom w:w="0" w:type="dxa"/>
            </w:tcMar>
            <w:vAlign w:val="center"/>
          </w:tcPr>
          <w:p w14:paraId="7BE5EBFC"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1</w:t>
            </w:r>
          </w:p>
        </w:tc>
        <w:tc>
          <w:tcPr>
            <w:tcW w:w="3347" w:type="pct"/>
            <w:shd w:val="clear" w:color="auto" w:fill="auto"/>
            <w:tcMar>
              <w:top w:w="0" w:type="dxa"/>
              <w:bottom w:w="0" w:type="dxa"/>
            </w:tcMar>
            <w:vAlign w:val="center"/>
          </w:tcPr>
          <w:p w14:paraId="3E9B248C" w14:textId="7F14E7C7" w:rsidR="00862F26" w:rsidRPr="00DE7C27" w:rsidRDefault="00956E64" w:rsidP="00956E64">
            <w:pPr>
              <w:pBdr>
                <w:top w:val="nil"/>
                <w:left w:val="nil"/>
                <w:bottom w:val="nil"/>
                <w:right w:val="nil"/>
                <w:between w:val="nil"/>
              </w:pBdr>
              <w:spacing w:after="120" w:line="360" w:lineRule="auto"/>
              <w:rPr>
                <w:rFonts w:ascii="Arial" w:eastAsia="Arial" w:hAnsi="Arial" w:cs="Arial"/>
                <w:color w:val="010000"/>
                <w:sz w:val="20"/>
                <w:szCs w:val="20"/>
              </w:rPr>
            </w:pPr>
            <w:r w:rsidRPr="00DE7C27">
              <w:rPr>
                <w:rFonts w:ascii="Arial" w:hAnsi="Arial" w:cs="Arial"/>
                <w:color w:val="010000"/>
                <w:sz w:val="20"/>
              </w:rPr>
              <w:t xml:space="preserve">Settlement of debts to the contractor for the construction of the drying and </w:t>
            </w:r>
            <w:r w:rsidR="00DE7C27" w:rsidRPr="00DE7C27">
              <w:rPr>
                <w:rFonts w:ascii="Arial" w:hAnsi="Arial" w:cs="Arial"/>
                <w:color w:val="010000"/>
                <w:sz w:val="20"/>
              </w:rPr>
              <w:t>concentration</w:t>
            </w:r>
            <w:r w:rsidRPr="00DE7C27">
              <w:rPr>
                <w:rFonts w:ascii="Arial" w:hAnsi="Arial" w:cs="Arial"/>
                <w:color w:val="010000"/>
                <w:sz w:val="20"/>
              </w:rPr>
              <w:t xml:space="preserve"> plant</w:t>
            </w:r>
          </w:p>
        </w:tc>
        <w:tc>
          <w:tcPr>
            <w:tcW w:w="1189" w:type="pct"/>
            <w:shd w:val="clear" w:color="auto" w:fill="auto"/>
            <w:tcMar>
              <w:top w:w="0" w:type="dxa"/>
              <w:bottom w:w="0" w:type="dxa"/>
            </w:tcMar>
            <w:vAlign w:val="center"/>
          </w:tcPr>
          <w:p w14:paraId="60D5EE64"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103,100,000,000</w:t>
            </w:r>
          </w:p>
        </w:tc>
      </w:tr>
      <w:tr w:rsidR="00862F26" w:rsidRPr="00DE7C27" w14:paraId="354DB39D" w14:textId="77777777" w:rsidTr="00956E64">
        <w:tc>
          <w:tcPr>
            <w:tcW w:w="464" w:type="pct"/>
            <w:shd w:val="clear" w:color="auto" w:fill="auto"/>
            <w:tcMar>
              <w:top w:w="0" w:type="dxa"/>
              <w:bottom w:w="0" w:type="dxa"/>
            </w:tcMar>
            <w:vAlign w:val="center"/>
          </w:tcPr>
          <w:p w14:paraId="2408D81C"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2</w:t>
            </w:r>
          </w:p>
        </w:tc>
        <w:tc>
          <w:tcPr>
            <w:tcW w:w="3347" w:type="pct"/>
            <w:shd w:val="clear" w:color="auto" w:fill="auto"/>
            <w:tcMar>
              <w:top w:w="0" w:type="dxa"/>
              <w:bottom w:w="0" w:type="dxa"/>
            </w:tcMar>
            <w:vAlign w:val="center"/>
          </w:tcPr>
          <w:p w14:paraId="02576E83" w14:textId="77777777" w:rsidR="00862F26" w:rsidRPr="00DE7C27" w:rsidRDefault="00956E64" w:rsidP="00956E64">
            <w:pPr>
              <w:pBdr>
                <w:top w:val="nil"/>
                <w:left w:val="nil"/>
                <w:bottom w:val="nil"/>
                <w:right w:val="nil"/>
                <w:between w:val="nil"/>
              </w:pBdr>
              <w:spacing w:after="120" w:line="360" w:lineRule="auto"/>
              <w:rPr>
                <w:rFonts w:ascii="Arial" w:eastAsia="Arial" w:hAnsi="Arial" w:cs="Arial"/>
                <w:color w:val="010000"/>
                <w:sz w:val="20"/>
                <w:szCs w:val="20"/>
              </w:rPr>
            </w:pPr>
            <w:r w:rsidRPr="00DE7C27">
              <w:rPr>
                <w:rFonts w:ascii="Arial" w:hAnsi="Arial" w:cs="Arial"/>
                <w:color w:val="010000"/>
                <w:sz w:val="20"/>
              </w:rPr>
              <w:t>Financial investment through receiving the transfer of contributed capital</w:t>
            </w:r>
          </w:p>
        </w:tc>
        <w:tc>
          <w:tcPr>
            <w:tcW w:w="1189" w:type="pct"/>
            <w:shd w:val="clear" w:color="auto" w:fill="auto"/>
            <w:tcMar>
              <w:top w:w="0" w:type="dxa"/>
              <w:bottom w:w="0" w:type="dxa"/>
            </w:tcMar>
            <w:vAlign w:val="center"/>
          </w:tcPr>
          <w:p w14:paraId="6F373DE0"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96,900,000,000</w:t>
            </w:r>
          </w:p>
        </w:tc>
      </w:tr>
      <w:tr w:rsidR="00862F26" w:rsidRPr="00DE7C27" w14:paraId="76BD7A29" w14:textId="77777777" w:rsidTr="00956E64">
        <w:tc>
          <w:tcPr>
            <w:tcW w:w="464" w:type="pct"/>
            <w:shd w:val="clear" w:color="auto" w:fill="auto"/>
            <w:tcMar>
              <w:top w:w="0" w:type="dxa"/>
              <w:bottom w:w="0" w:type="dxa"/>
            </w:tcMar>
            <w:vAlign w:val="center"/>
          </w:tcPr>
          <w:p w14:paraId="00F0548C" w14:textId="77777777" w:rsidR="00862F26" w:rsidRPr="00DE7C27" w:rsidRDefault="00862F26" w:rsidP="00956E64">
            <w:pPr>
              <w:spacing w:after="120" w:line="360" w:lineRule="auto"/>
              <w:rPr>
                <w:rFonts w:ascii="Arial" w:eastAsia="Arial" w:hAnsi="Arial" w:cs="Arial"/>
                <w:color w:val="010000"/>
                <w:sz w:val="20"/>
                <w:szCs w:val="20"/>
              </w:rPr>
            </w:pPr>
          </w:p>
        </w:tc>
        <w:tc>
          <w:tcPr>
            <w:tcW w:w="3347" w:type="pct"/>
            <w:shd w:val="clear" w:color="auto" w:fill="auto"/>
            <w:tcMar>
              <w:top w:w="0" w:type="dxa"/>
              <w:bottom w:w="0" w:type="dxa"/>
            </w:tcMar>
            <w:vAlign w:val="center"/>
          </w:tcPr>
          <w:p w14:paraId="1EE82F6A"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Total</w:t>
            </w:r>
          </w:p>
        </w:tc>
        <w:tc>
          <w:tcPr>
            <w:tcW w:w="1189" w:type="pct"/>
            <w:shd w:val="clear" w:color="auto" w:fill="auto"/>
            <w:tcMar>
              <w:top w:w="0" w:type="dxa"/>
              <w:bottom w:w="0" w:type="dxa"/>
            </w:tcMar>
            <w:vAlign w:val="center"/>
          </w:tcPr>
          <w:p w14:paraId="4C6FC3F5" w14:textId="77777777" w:rsidR="00862F26" w:rsidRPr="00DE7C27" w:rsidRDefault="00956E64" w:rsidP="00956E64">
            <w:pPr>
              <w:pBdr>
                <w:top w:val="nil"/>
                <w:left w:val="nil"/>
                <w:bottom w:val="nil"/>
                <w:right w:val="nil"/>
                <w:between w:val="nil"/>
              </w:pBdr>
              <w:spacing w:after="120" w:line="360" w:lineRule="auto"/>
              <w:jc w:val="center"/>
              <w:rPr>
                <w:rFonts w:ascii="Arial" w:eastAsia="Arial" w:hAnsi="Arial" w:cs="Arial"/>
                <w:color w:val="010000"/>
                <w:sz w:val="20"/>
                <w:szCs w:val="20"/>
              </w:rPr>
            </w:pPr>
            <w:r w:rsidRPr="00DE7C27">
              <w:rPr>
                <w:rFonts w:ascii="Arial" w:hAnsi="Arial" w:cs="Arial"/>
                <w:color w:val="010000"/>
                <w:sz w:val="20"/>
              </w:rPr>
              <w:t>200,000,000,000</w:t>
            </w:r>
          </w:p>
        </w:tc>
      </w:tr>
    </w:tbl>
    <w:p w14:paraId="5E046B7B" w14:textId="74C38422" w:rsidR="00862F26" w:rsidRPr="00DE7C27" w:rsidRDefault="00956E64" w:rsidP="00956E64">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DE7C27">
        <w:rPr>
          <w:rFonts w:ascii="Arial" w:hAnsi="Arial" w:cs="Arial"/>
          <w:color w:val="010000"/>
          <w:sz w:val="20"/>
        </w:rPr>
        <w:t xml:space="preserve"> Reason for the change: Due to the long process of completing the </w:t>
      </w:r>
      <w:r w:rsidR="00DE7C27" w:rsidRPr="00DE7C27">
        <w:rPr>
          <w:rFonts w:ascii="Arial" w:hAnsi="Arial" w:cs="Arial"/>
          <w:color w:val="010000"/>
          <w:sz w:val="20"/>
        </w:rPr>
        <w:t>private placement</w:t>
      </w:r>
      <w:r w:rsidRPr="00DE7C27">
        <w:rPr>
          <w:rFonts w:ascii="Arial" w:hAnsi="Arial" w:cs="Arial"/>
          <w:color w:val="010000"/>
          <w:sz w:val="20"/>
        </w:rPr>
        <w:t xml:space="preserve"> to increase charter capital and the Company coordinated with the bank on agreeing on plans to handle due and overdue debts in accordance with the production and business situation of the Company in a period. After discussing and reviewing the current production and business situation of the Company and the recovery of the economy after the crisis period, the Board of Directors of the Company approved the priority of cash sources for investment and business development. Due to the urgency in the process of using capital, the adjustment of the above-mentioned capital use plan cannot be approved at the General Meeting of Shareholders. </w:t>
      </w:r>
      <w:r w:rsidR="00DE7C27" w:rsidRPr="00DE7C27">
        <w:rPr>
          <w:rFonts w:ascii="Arial" w:hAnsi="Arial" w:cs="Arial"/>
          <w:color w:val="010000"/>
          <w:sz w:val="20"/>
        </w:rPr>
        <w:t xml:space="preserve">The Board </w:t>
      </w:r>
      <w:r w:rsidRPr="00DE7C27">
        <w:rPr>
          <w:rFonts w:ascii="Arial" w:hAnsi="Arial" w:cs="Arial"/>
          <w:color w:val="010000"/>
          <w:sz w:val="20"/>
        </w:rPr>
        <w:t>of Directors of the Company will report back and ask for opinions on the adjustment of the capital use plan at the nearest General Meeting of Shareholders.</w:t>
      </w:r>
    </w:p>
    <w:p w14:paraId="6A9C3FCC" w14:textId="77777777" w:rsidR="00862F26" w:rsidRPr="00DE7C27" w:rsidRDefault="00956E64" w:rsidP="00956E64">
      <w:pPr>
        <w:pBdr>
          <w:top w:val="nil"/>
          <w:left w:val="nil"/>
          <w:bottom w:val="nil"/>
          <w:right w:val="nil"/>
          <w:between w:val="nil"/>
        </w:pBdr>
        <w:spacing w:after="120" w:line="360" w:lineRule="auto"/>
        <w:jc w:val="both"/>
        <w:rPr>
          <w:rFonts w:ascii="Arial" w:eastAsia="Arial" w:hAnsi="Arial" w:cs="Arial"/>
          <w:color w:val="010000"/>
          <w:sz w:val="20"/>
          <w:szCs w:val="20"/>
        </w:rPr>
      </w:pPr>
      <w:r w:rsidRPr="00DE7C27">
        <w:rPr>
          <w:rFonts w:ascii="Arial" w:hAnsi="Arial" w:cs="Arial"/>
          <w:color w:val="010000"/>
          <w:sz w:val="20"/>
        </w:rPr>
        <w:t>Article 2: Terms of enforcement</w:t>
      </w:r>
    </w:p>
    <w:p w14:paraId="07486774" w14:textId="6E40277F" w:rsidR="00862F26" w:rsidRPr="00DE7C27" w:rsidRDefault="00956E64" w:rsidP="00956E64">
      <w:pPr>
        <w:pBdr>
          <w:top w:val="nil"/>
          <w:left w:val="nil"/>
          <w:bottom w:val="nil"/>
          <w:right w:val="nil"/>
          <w:between w:val="nil"/>
        </w:pBdr>
        <w:spacing w:after="120" w:line="360" w:lineRule="auto"/>
        <w:jc w:val="both"/>
        <w:rPr>
          <w:rFonts w:ascii="Arial" w:eastAsia="Arial" w:hAnsi="Arial" w:cs="Arial"/>
          <w:color w:val="010000"/>
          <w:sz w:val="20"/>
          <w:szCs w:val="20"/>
        </w:rPr>
      </w:pPr>
      <w:r w:rsidRPr="00DE7C27">
        <w:rPr>
          <w:rFonts w:ascii="Arial" w:hAnsi="Arial" w:cs="Arial"/>
          <w:color w:val="010000"/>
          <w:sz w:val="20"/>
        </w:rPr>
        <w:t xml:space="preserve">This </w:t>
      </w:r>
      <w:r w:rsidR="00DE7C27" w:rsidRPr="00DE7C27">
        <w:rPr>
          <w:rFonts w:ascii="Arial" w:hAnsi="Arial" w:cs="Arial"/>
          <w:color w:val="010000"/>
          <w:sz w:val="20"/>
        </w:rPr>
        <w:t>Resolution</w:t>
      </w:r>
      <w:r w:rsidRPr="00DE7C27">
        <w:rPr>
          <w:rFonts w:ascii="Arial" w:hAnsi="Arial" w:cs="Arial"/>
          <w:color w:val="010000"/>
          <w:sz w:val="20"/>
        </w:rPr>
        <w:t xml:space="preserve"> takes effect from the date of its signing.</w:t>
      </w:r>
    </w:p>
    <w:p w14:paraId="7FB587A8" w14:textId="77777777" w:rsidR="00862F26" w:rsidRPr="00DE7C27" w:rsidRDefault="00956E64" w:rsidP="00956E64">
      <w:pPr>
        <w:pBdr>
          <w:top w:val="nil"/>
          <w:left w:val="nil"/>
          <w:bottom w:val="nil"/>
          <w:right w:val="nil"/>
          <w:between w:val="nil"/>
        </w:pBdr>
        <w:spacing w:after="120" w:line="360" w:lineRule="auto"/>
        <w:jc w:val="both"/>
        <w:rPr>
          <w:rFonts w:ascii="Arial" w:eastAsia="Arial" w:hAnsi="Arial" w:cs="Arial"/>
          <w:color w:val="010000"/>
          <w:sz w:val="20"/>
          <w:szCs w:val="20"/>
        </w:rPr>
      </w:pPr>
      <w:r w:rsidRPr="00DE7C27">
        <w:rPr>
          <w:rFonts w:ascii="Arial" w:hAnsi="Arial" w:cs="Arial"/>
          <w:color w:val="010000"/>
          <w:sz w:val="20"/>
        </w:rPr>
        <w:t>Members of the Board of Directors, the Board of Managers, the Chief Accountant and related functional departments are responsible for implementing this Resolution.</w:t>
      </w:r>
    </w:p>
    <w:sectPr w:rsidR="00862F26" w:rsidRPr="00DE7C27" w:rsidSect="00A42B3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788F"/>
    <w:multiLevelType w:val="multilevel"/>
    <w:tmpl w:val="B89E0822"/>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696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26"/>
    <w:rsid w:val="00033EB2"/>
    <w:rsid w:val="00862F26"/>
    <w:rsid w:val="00956E64"/>
    <w:rsid w:val="00A42B3B"/>
    <w:rsid w:val="00DE7C2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810A7"/>
  <w15:docId w15:val="{FE4B6A94-FC2D-4B06-9C30-428A37CE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E7768B"/>
      <w:sz w:val="14"/>
      <w:szCs w:val="14"/>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E7768B"/>
      <w:sz w:val="16"/>
      <w:szCs w:val="1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E7768B"/>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2323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323232"/>
      <w:sz w:val="32"/>
      <w:szCs w:val="3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color w:val="323232"/>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32323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323232"/>
      <w:u w:val="none"/>
      <w:shd w:val="clear" w:color="auto" w:fill="auto"/>
    </w:rPr>
  </w:style>
  <w:style w:type="paragraph" w:customStyle="1" w:styleId="Vnbnnidung20">
    <w:name w:val="Văn bản nội dung (2)"/>
    <w:basedOn w:val="Normal"/>
    <w:link w:val="Vnbnnidung2"/>
    <w:pPr>
      <w:spacing w:line="290" w:lineRule="auto"/>
      <w:jc w:val="center"/>
    </w:pPr>
    <w:rPr>
      <w:rFonts w:ascii="Arial" w:eastAsia="Arial" w:hAnsi="Arial" w:cs="Arial"/>
      <w:color w:val="E7768B"/>
      <w:sz w:val="14"/>
      <w:szCs w:val="14"/>
    </w:rPr>
  </w:style>
  <w:style w:type="paragraph" w:customStyle="1" w:styleId="Vnbnnidung30">
    <w:name w:val="Văn bản nội dung (3)"/>
    <w:basedOn w:val="Normal"/>
    <w:link w:val="Vnbnnidung3"/>
    <w:pPr>
      <w:spacing w:line="300" w:lineRule="auto"/>
      <w:jc w:val="center"/>
    </w:pPr>
    <w:rPr>
      <w:rFonts w:ascii="Arial" w:eastAsia="Arial" w:hAnsi="Arial" w:cs="Arial"/>
      <w:b/>
      <w:bCs/>
      <w:color w:val="E7768B"/>
      <w:sz w:val="16"/>
      <w:szCs w:val="16"/>
    </w:rPr>
  </w:style>
  <w:style w:type="paragraph" w:customStyle="1" w:styleId="Vnbnnidung40">
    <w:name w:val="Văn bản nội dung (4)"/>
    <w:basedOn w:val="Normal"/>
    <w:link w:val="Vnbnnidung4"/>
    <w:pPr>
      <w:jc w:val="right"/>
    </w:pPr>
    <w:rPr>
      <w:rFonts w:ascii="Times New Roman" w:eastAsia="Times New Roman" w:hAnsi="Times New Roman" w:cs="Times New Roman"/>
      <w:color w:val="E7768B"/>
      <w:sz w:val="20"/>
      <w:szCs w:val="20"/>
    </w:rPr>
  </w:style>
  <w:style w:type="paragraph" w:customStyle="1" w:styleId="Vnbnnidung0">
    <w:name w:val="Văn bản nội dung"/>
    <w:basedOn w:val="Normal"/>
    <w:link w:val="Vnbnnidung"/>
    <w:pPr>
      <w:spacing w:line="288" w:lineRule="auto"/>
      <w:ind w:firstLine="60"/>
    </w:pPr>
    <w:rPr>
      <w:rFonts w:ascii="Times New Roman" w:eastAsia="Times New Roman" w:hAnsi="Times New Roman" w:cs="Times New Roman"/>
      <w:color w:val="323232"/>
    </w:rPr>
  </w:style>
  <w:style w:type="paragraph" w:customStyle="1" w:styleId="Tiu10">
    <w:name w:val="Tiêu đề #1"/>
    <w:basedOn w:val="Normal"/>
    <w:link w:val="Tiu1"/>
    <w:pPr>
      <w:jc w:val="center"/>
      <w:outlineLvl w:val="0"/>
    </w:pPr>
    <w:rPr>
      <w:rFonts w:ascii="Times New Roman" w:eastAsia="Times New Roman" w:hAnsi="Times New Roman" w:cs="Times New Roman"/>
      <w:b/>
      <w:bCs/>
      <w:color w:val="323232"/>
      <w:sz w:val="32"/>
      <w:szCs w:val="32"/>
    </w:rPr>
  </w:style>
  <w:style w:type="paragraph" w:customStyle="1" w:styleId="Tiu20">
    <w:name w:val="Tiêu đề #2"/>
    <w:basedOn w:val="Normal"/>
    <w:link w:val="Tiu2"/>
    <w:pPr>
      <w:jc w:val="center"/>
      <w:outlineLvl w:val="1"/>
    </w:pPr>
    <w:rPr>
      <w:rFonts w:ascii="Times New Roman" w:eastAsia="Times New Roman" w:hAnsi="Times New Roman" w:cs="Times New Roman"/>
      <w:b/>
      <w:bCs/>
      <w:color w:val="323232"/>
      <w:sz w:val="26"/>
      <w:szCs w:val="26"/>
    </w:rPr>
  </w:style>
  <w:style w:type="paragraph" w:customStyle="1" w:styleId="Khc0">
    <w:name w:val="Khác"/>
    <w:basedOn w:val="Normal"/>
    <w:link w:val="Khc"/>
    <w:pPr>
      <w:spacing w:line="288" w:lineRule="auto"/>
      <w:ind w:firstLine="60"/>
    </w:pPr>
    <w:rPr>
      <w:rFonts w:ascii="Times New Roman" w:eastAsia="Times New Roman" w:hAnsi="Times New Roman" w:cs="Times New Roman"/>
      <w:color w:val="323232"/>
    </w:rPr>
  </w:style>
  <w:style w:type="paragraph" w:customStyle="1" w:styleId="Chthchbng0">
    <w:name w:val="Chú thích bảng"/>
    <w:basedOn w:val="Normal"/>
    <w:link w:val="Chthchbng"/>
    <w:rPr>
      <w:rFonts w:ascii="Times New Roman" w:eastAsia="Times New Roman" w:hAnsi="Times New Roman" w:cs="Times New Roman"/>
      <w:color w:val="3232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 w:type="dxa"/>
        <w:right w:w="10" w:type="dxa"/>
      </w:tblCellMar>
    </w:tblPr>
  </w:style>
  <w:style w:type="table" w:customStyle="1" w:styleId="1">
    <w:name w:val="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pWqux2g3cmtLr/CSV3S/Ke/Q==">CgMxLjAyCGguZ2pkZ3hzOAByITFELTB3UmlBdTRqQTEydVF2dU5xNVlBLXNOSTdTVjBtWQ==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1717</Characters>
  <Application>Microsoft Office Word</Application>
  <DocSecurity>0</DocSecurity>
  <Lines>45</Lines>
  <Paragraphs>32</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Minh Hiếu Kiều</cp:lastModifiedBy>
  <cp:revision>3</cp:revision>
  <dcterms:created xsi:type="dcterms:W3CDTF">2024-02-27T03:45:00Z</dcterms:created>
  <dcterms:modified xsi:type="dcterms:W3CDTF">2024-02-27T22:43:00Z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a7558dde1c29bf22f732eaef9afa2ef364aee4e0d349416aa976ea4a203155fa</vt:lpwstr>
  </property>
</Properties>
</file>