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5C30" w14:textId="1A31F95F" w:rsidR="00E95D64" w:rsidRPr="00776DE5" w:rsidRDefault="00E95D64" w:rsidP="00C83682">
      <w:pPr>
        <w:pStyle w:val="BodyText"/>
        <w:tabs>
          <w:tab w:val="left" w:pos="432"/>
          <w:tab w:val="left" w:pos="6646"/>
        </w:tabs>
        <w:spacing w:after="120" w:line="360" w:lineRule="auto"/>
        <w:jc w:val="both"/>
        <w:rPr>
          <w:rFonts w:ascii="Arial" w:hAnsi="Arial" w:cs="Arial"/>
          <w:b/>
          <w:bCs/>
          <w:color w:val="010000"/>
          <w:sz w:val="20"/>
        </w:rPr>
      </w:pPr>
      <w:r w:rsidRPr="00776DE5">
        <w:rPr>
          <w:rFonts w:ascii="Arial" w:hAnsi="Arial" w:cs="Arial"/>
          <w:b/>
          <w:color w:val="010000"/>
          <w:sz w:val="20"/>
        </w:rPr>
        <w:t>LDP: Board Resolution</w:t>
      </w:r>
    </w:p>
    <w:p w14:paraId="54A3E5C9" w14:textId="5F0C7BE3" w:rsidR="00E95D64" w:rsidRPr="00776DE5" w:rsidRDefault="00E95D64" w:rsidP="00C83682">
      <w:pPr>
        <w:pStyle w:val="BodyText"/>
        <w:tabs>
          <w:tab w:val="left" w:pos="432"/>
          <w:tab w:val="left" w:pos="6646"/>
        </w:tabs>
        <w:spacing w:after="120" w:line="360" w:lineRule="auto"/>
        <w:jc w:val="both"/>
        <w:rPr>
          <w:rFonts w:ascii="Arial" w:hAnsi="Arial" w:cs="Arial"/>
          <w:bCs/>
          <w:color w:val="010000"/>
          <w:sz w:val="20"/>
        </w:rPr>
      </w:pPr>
      <w:r w:rsidRPr="00776DE5">
        <w:rPr>
          <w:rFonts w:ascii="Arial" w:hAnsi="Arial" w:cs="Arial"/>
          <w:color w:val="010000"/>
          <w:sz w:val="20"/>
        </w:rPr>
        <w:t>On February 23, 2024, Lam Dong Pharmaceutical JSC announced Resolution No. 05/NQ-HDQT/2024 on approving transactions and contracts between the Company and affiliated parties in 2024 as follows:</w:t>
      </w:r>
    </w:p>
    <w:p w14:paraId="390AF832" w14:textId="327A2E5A" w:rsidR="005E3D07" w:rsidRPr="00776DE5" w:rsidRDefault="00BF170A" w:rsidP="00C83682">
      <w:pPr>
        <w:pStyle w:val="BodyText"/>
        <w:tabs>
          <w:tab w:val="left" w:pos="432"/>
        </w:tabs>
        <w:spacing w:after="120" w:line="360" w:lineRule="auto"/>
        <w:jc w:val="both"/>
        <w:rPr>
          <w:rFonts w:ascii="Arial" w:hAnsi="Arial" w:cs="Arial"/>
          <w:color w:val="010000"/>
          <w:sz w:val="20"/>
        </w:rPr>
      </w:pPr>
      <w:r w:rsidRPr="00776DE5">
        <w:rPr>
          <w:rFonts w:ascii="Arial" w:hAnsi="Arial" w:cs="Arial"/>
          <w:color w:val="010000"/>
          <w:sz w:val="20"/>
        </w:rPr>
        <w:t xml:space="preserve">Article 1: To create convenience and speed in business operations of Lam Dong Pharmaceutical JSC (Ladophar), the Board of Directors </w:t>
      </w:r>
      <w:r w:rsidR="00776DE5" w:rsidRPr="00776DE5">
        <w:rPr>
          <w:rFonts w:ascii="Arial" w:hAnsi="Arial" w:cs="Arial"/>
          <w:color w:val="010000"/>
          <w:sz w:val="20"/>
        </w:rPr>
        <w:t>approves</w:t>
      </w:r>
      <w:r w:rsidRPr="00776DE5">
        <w:rPr>
          <w:rFonts w:ascii="Arial" w:hAnsi="Arial" w:cs="Arial"/>
          <w:color w:val="010000"/>
          <w:sz w:val="20"/>
        </w:rPr>
        <w:t xml:space="preserve"> the signing and implementation of contracts and transactions</w:t>
      </w:r>
      <w:r w:rsidR="00776DE5" w:rsidRPr="00776DE5">
        <w:rPr>
          <w:rFonts w:ascii="Arial" w:hAnsi="Arial" w:cs="Arial"/>
          <w:color w:val="010000"/>
          <w:sz w:val="20"/>
        </w:rPr>
        <w:t xml:space="preserve"> </w:t>
      </w:r>
      <w:r w:rsidRPr="00776DE5">
        <w:rPr>
          <w:rFonts w:ascii="Arial" w:hAnsi="Arial" w:cs="Arial"/>
          <w:color w:val="010000"/>
          <w:sz w:val="20"/>
        </w:rPr>
        <w:t>under the decision authority of the Board of Directors in 2024 (from January 1, 2024 to December 31, 2024) between the Company and affiliated parties according to the provisions of Article 167 of the Law on Enterprises 2020, Article 293 of Decree No. 155/2020/ND-CP dated December 31, 2020 of the Government and the provisions of the Company's Charter (including contracts and transactions signed and implemented in 2024 under the authority of the Board of Directors before the date this Resolution is issued (if any)), specifically as follows:</w:t>
      </w:r>
    </w:p>
    <w:p w14:paraId="74E07731" w14:textId="77777777" w:rsidR="005E3D07" w:rsidRPr="00776DE5" w:rsidRDefault="00BF170A" w:rsidP="00C83682">
      <w:pPr>
        <w:pStyle w:val="BodyText"/>
        <w:numPr>
          <w:ilvl w:val="0"/>
          <w:numId w:val="4"/>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Subjects of contracts and transactions:</w:t>
      </w:r>
    </w:p>
    <w:p w14:paraId="62499B9E" w14:textId="77777777" w:rsidR="005E3D07" w:rsidRPr="00776DE5" w:rsidRDefault="00BF170A" w:rsidP="00C83682">
      <w:pPr>
        <w:pStyle w:val="BodyText"/>
        <w:numPr>
          <w:ilvl w:val="0"/>
          <w:numId w:val="5"/>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Contracts and transactions between Lam Dong Pharmaceutical JSC (Ladophar) and Subsidiaries whose charter capital is 100% owned by Ladophar and/or Subsidiaries controlled by Ladophar (due to Ladophar owning from 51% to less than 100% of charter capital):</w:t>
      </w:r>
    </w:p>
    <w:p w14:paraId="3CE3F050" w14:textId="1A2BBE7C" w:rsidR="005E3D07" w:rsidRPr="00776DE5" w:rsidRDefault="00BF170A" w:rsidP="00C83682">
      <w:pPr>
        <w:pStyle w:val="BodyText"/>
        <w:numPr>
          <w:ilvl w:val="0"/>
          <w:numId w:val="3"/>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C</w:t>
      </w:r>
      <w:r w:rsidR="00E6094D" w:rsidRPr="00776DE5">
        <w:rPr>
          <w:rFonts w:ascii="Arial" w:hAnsi="Arial" w:cs="Arial"/>
          <w:color w:val="010000"/>
          <w:sz w:val="20"/>
        </w:rPr>
        <w:t>ô</w:t>
      </w:r>
      <w:r w:rsidRPr="00776DE5">
        <w:rPr>
          <w:rFonts w:ascii="Arial" w:hAnsi="Arial" w:cs="Arial"/>
          <w:color w:val="010000"/>
          <w:sz w:val="20"/>
        </w:rPr>
        <w:t>ng ty TNHH MTV Nước giải khát thảo dược Ladophar (tentatively translated as Ladophar Herbal Beverage Company Limited) (100% capital owned by Ladophar);</w:t>
      </w:r>
    </w:p>
    <w:p w14:paraId="0F8706D4" w14:textId="1450F9E1" w:rsidR="005E3D07" w:rsidRPr="00776DE5" w:rsidRDefault="00BF170A" w:rsidP="00C83682">
      <w:pPr>
        <w:pStyle w:val="BodyText"/>
        <w:numPr>
          <w:ilvl w:val="0"/>
          <w:numId w:val="3"/>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And other subsidiaries (if any arise/</w:t>
      </w:r>
      <w:r w:rsidR="00776DE5" w:rsidRPr="00776DE5">
        <w:rPr>
          <w:rFonts w:ascii="Arial" w:hAnsi="Arial" w:cs="Arial"/>
          <w:color w:val="010000"/>
          <w:sz w:val="20"/>
        </w:rPr>
        <w:t xml:space="preserve">are </w:t>
      </w:r>
      <w:r w:rsidRPr="00776DE5">
        <w:rPr>
          <w:rFonts w:ascii="Arial" w:hAnsi="Arial" w:cs="Arial"/>
          <w:color w:val="010000"/>
          <w:sz w:val="20"/>
        </w:rPr>
        <w:t>newly established and come into operation in 2024).</w:t>
      </w:r>
    </w:p>
    <w:p w14:paraId="4A1DBDB8" w14:textId="77777777" w:rsidR="005E3D07" w:rsidRPr="00776DE5" w:rsidRDefault="00BF170A" w:rsidP="00C83682">
      <w:pPr>
        <w:pStyle w:val="BodyText"/>
        <w:numPr>
          <w:ilvl w:val="0"/>
          <w:numId w:val="5"/>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Contracts and transactions between Lam Dong Pharmaceutical JSC (Ladophar) and affiliated parties of the Company include:</w:t>
      </w:r>
    </w:p>
    <w:p w14:paraId="7204195A" w14:textId="77777777" w:rsidR="005E3D07" w:rsidRPr="00776DE5" w:rsidRDefault="00BF170A" w:rsidP="00C83682">
      <w:pPr>
        <w:pStyle w:val="BodyText"/>
        <w:numPr>
          <w:ilvl w:val="0"/>
          <w:numId w:val="3"/>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PDMR (defined according to Point a, Clause 45, Article 4 of the Law on Securities 2019);</w:t>
      </w:r>
    </w:p>
    <w:p w14:paraId="224D85E9" w14:textId="1D29FE19" w:rsidR="005E3D07" w:rsidRPr="00776DE5" w:rsidRDefault="00BF170A" w:rsidP="00C83682">
      <w:pPr>
        <w:pStyle w:val="BodyText"/>
        <w:numPr>
          <w:ilvl w:val="0"/>
          <w:numId w:val="3"/>
        </w:numPr>
        <w:tabs>
          <w:tab w:val="left" w:pos="432"/>
          <w:tab w:val="left" w:pos="1804"/>
        </w:tabs>
        <w:spacing w:after="120" w:line="360" w:lineRule="auto"/>
        <w:jc w:val="both"/>
        <w:rPr>
          <w:rFonts w:ascii="Arial" w:hAnsi="Arial" w:cs="Arial"/>
          <w:color w:val="010000"/>
          <w:sz w:val="20"/>
        </w:rPr>
      </w:pPr>
      <w:r w:rsidRPr="00776DE5">
        <w:rPr>
          <w:rFonts w:ascii="Arial" w:hAnsi="Arial" w:cs="Arial"/>
          <w:color w:val="010000"/>
          <w:sz w:val="20"/>
        </w:rPr>
        <w:t>Individuals/organizations who are affiliated to the Company and the PDMR according to the provisions of the Law on Enterprises and the Law on Securities, specifically:</w:t>
      </w:r>
    </w:p>
    <w:p w14:paraId="13170AFF" w14:textId="52083518" w:rsidR="005E3D07" w:rsidRPr="00776DE5" w:rsidRDefault="00BF170A" w:rsidP="00C83682">
      <w:pPr>
        <w:pStyle w:val="BodyText"/>
        <w:numPr>
          <w:ilvl w:val="0"/>
          <w:numId w:val="6"/>
        </w:numPr>
        <w:tabs>
          <w:tab w:val="left" w:pos="432"/>
        </w:tabs>
        <w:spacing w:after="120" w:line="360" w:lineRule="auto"/>
        <w:ind w:left="0" w:firstLine="0"/>
        <w:jc w:val="both"/>
        <w:rPr>
          <w:rFonts w:ascii="Arial" w:hAnsi="Arial" w:cs="Arial"/>
          <w:color w:val="010000"/>
          <w:sz w:val="20"/>
        </w:rPr>
      </w:pPr>
      <w:r w:rsidRPr="00776DE5">
        <w:rPr>
          <w:rFonts w:ascii="Arial" w:hAnsi="Arial" w:cs="Arial"/>
          <w:color w:val="010000"/>
          <w:sz w:val="20"/>
        </w:rPr>
        <w:t>APG Securities JSC (Major shareholder and affiliated party of PDMR): Mr. Nguyen Ho Hung - Member of the Board of Directors of Ladophar and Chair of APG Securities JSC);</w:t>
      </w:r>
    </w:p>
    <w:p w14:paraId="75E1AAB5" w14:textId="65469359" w:rsidR="005E3D07" w:rsidRPr="00776DE5" w:rsidRDefault="00BF170A" w:rsidP="00C83682">
      <w:pPr>
        <w:pStyle w:val="BodyText"/>
        <w:numPr>
          <w:ilvl w:val="0"/>
          <w:numId w:val="6"/>
        </w:numPr>
        <w:tabs>
          <w:tab w:val="left" w:pos="432"/>
        </w:tabs>
        <w:spacing w:after="120" w:line="360" w:lineRule="auto"/>
        <w:ind w:left="0" w:firstLine="0"/>
        <w:jc w:val="both"/>
        <w:rPr>
          <w:rFonts w:ascii="Arial" w:hAnsi="Arial" w:cs="Arial"/>
          <w:color w:val="010000"/>
          <w:sz w:val="20"/>
        </w:rPr>
      </w:pPr>
      <w:r w:rsidRPr="00776DE5">
        <w:rPr>
          <w:rFonts w:ascii="Arial" w:hAnsi="Arial" w:cs="Arial"/>
          <w:color w:val="010000"/>
          <w:sz w:val="20"/>
        </w:rPr>
        <w:t>An Giang Import - Export Company (affiliated party of PDMR): Mr. Le Tien Thinh - Member of the Board of Directors-cum-General Manager - Legal Representative of Ladophar and Chair of the Board of Directors of Angimex); and Subsidiaries in which Angimex owns 100% of charter capital (Angimex Food Company Limited, Angimex High-Tech Agricultural Services Company Limited, Angimex Green Era Company Limited, Angimex Food Processing Company Limited,…).</w:t>
      </w:r>
    </w:p>
    <w:p w14:paraId="6D5ED525" w14:textId="284D239B" w:rsidR="005E3D07" w:rsidRPr="00776DE5" w:rsidRDefault="00BF170A" w:rsidP="00C83682">
      <w:pPr>
        <w:pStyle w:val="BodyText"/>
        <w:numPr>
          <w:ilvl w:val="0"/>
          <w:numId w:val="6"/>
        </w:numPr>
        <w:tabs>
          <w:tab w:val="left" w:pos="432"/>
        </w:tabs>
        <w:spacing w:after="120" w:line="360" w:lineRule="auto"/>
        <w:ind w:left="0" w:firstLine="0"/>
        <w:jc w:val="both"/>
        <w:rPr>
          <w:rFonts w:ascii="Arial" w:hAnsi="Arial" w:cs="Arial"/>
          <w:color w:val="010000"/>
          <w:sz w:val="20"/>
        </w:rPr>
      </w:pPr>
      <w:r w:rsidRPr="00776DE5">
        <w:rPr>
          <w:rFonts w:ascii="Arial" w:hAnsi="Arial" w:cs="Arial"/>
          <w:color w:val="010000"/>
          <w:sz w:val="20"/>
        </w:rPr>
        <w:t>Other individuals/organizations who are related parties of the Company and of PDMR according to current Law regulations;</w:t>
      </w:r>
    </w:p>
    <w:p w14:paraId="6A23D2DE" w14:textId="064B2574" w:rsidR="005E3D07" w:rsidRPr="00776DE5" w:rsidRDefault="00BF170A" w:rsidP="00C83682">
      <w:pPr>
        <w:pStyle w:val="BodyText"/>
        <w:numPr>
          <w:ilvl w:val="0"/>
          <w:numId w:val="6"/>
        </w:numPr>
        <w:tabs>
          <w:tab w:val="left" w:pos="432"/>
        </w:tabs>
        <w:spacing w:after="120" w:line="360" w:lineRule="auto"/>
        <w:ind w:left="0" w:firstLine="0"/>
        <w:jc w:val="both"/>
        <w:rPr>
          <w:rFonts w:ascii="Arial" w:hAnsi="Arial" w:cs="Arial"/>
          <w:color w:val="010000"/>
          <w:sz w:val="20"/>
        </w:rPr>
      </w:pPr>
      <w:r w:rsidRPr="00776DE5">
        <w:rPr>
          <w:rFonts w:ascii="Arial" w:hAnsi="Arial" w:cs="Arial"/>
          <w:color w:val="010000"/>
          <w:sz w:val="20"/>
        </w:rPr>
        <w:t>And additional related individuals/organizations arising in 2024 (if any).</w:t>
      </w:r>
    </w:p>
    <w:p w14:paraId="7B5D742C" w14:textId="77777777" w:rsidR="005E3D07" w:rsidRPr="00776DE5" w:rsidRDefault="00BF170A" w:rsidP="00C83682">
      <w:pPr>
        <w:pStyle w:val="BodyText"/>
        <w:numPr>
          <w:ilvl w:val="0"/>
          <w:numId w:val="4"/>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t>Type of contract and transaction:</w:t>
      </w:r>
    </w:p>
    <w:p w14:paraId="4B3EC0E8" w14:textId="6F05B3E9" w:rsidR="005E3D07" w:rsidRPr="00776DE5" w:rsidRDefault="00BF170A" w:rsidP="00C83682">
      <w:pPr>
        <w:pStyle w:val="BodyText"/>
        <w:numPr>
          <w:ilvl w:val="0"/>
          <w:numId w:val="3"/>
        </w:numPr>
        <w:tabs>
          <w:tab w:val="left" w:pos="432"/>
          <w:tab w:val="left" w:pos="1763"/>
          <w:tab w:val="right" w:pos="7657"/>
          <w:tab w:val="left" w:pos="7826"/>
          <w:tab w:val="left" w:pos="8584"/>
        </w:tabs>
        <w:spacing w:after="120" w:line="360" w:lineRule="auto"/>
        <w:jc w:val="both"/>
        <w:rPr>
          <w:rFonts w:ascii="Arial" w:hAnsi="Arial" w:cs="Arial"/>
          <w:color w:val="010000"/>
          <w:sz w:val="20"/>
        </w:rPr>
      </w:pPr>
      <w:r w:rsidRPr="00776DE5">
        <w:rPr>
          <w:rFonts w:ascii="Arial" w:hAnsi="Arial" w:cs="Arial"/>
          <w:color w:val="010000"/>
          <w:sz w:val="20"/>
        </w:rPr>
        <w:t>Contracts and transactions for purchasing and/or selling goods, services, tools</w:t>
      </w:r>
      <w:r w:rsidR="00386FD9">
        <w:rPr>
          <w:rFonts w:ascii="Arial" w:hAnsi="Arial" w:cs="Arial"/>
          <w:color w:val="010000"/>
          <w:sz w:val="20"/>
        </w:rPr>
        <w:t>,</w:t>
      </w:r>
      <w:r w:rsidRPr="00776DE5">
        <w:rPr>
          <w:rFonts w:ascii="Arial" w:hAnsi="Arial" w:cs="Arial"/>
          <w:color w:val="010000"/>
          <w:sz w:val="20"/>
        </w:rPr>
        <w:t xml:space="preserve"> and equipment;</w:t>
      </w:r>
    </w:p>
    <w:p w14:paraId="417B671D" w14:textId="77777777" w:rsidR="005E3D07" w:rsidRPr="00776DE5" w:rsidRDefault="00BF170A" w:rsidP="00C83682">
      <w:pPr>
        <w:pStyle w:val="BodyText"/>
        <w:numPr>
          <w:ilvl w:val="0"/>
          <w:numId w:val="3"/>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lastRenderedPageBreak/>
        <w:t>Contracts, transactions of property leasing and renting;</w:t>
      </w:r>
    </w:p>
    <w:p w14:paraId="362F8D6A" w14:textId="1D56694C" w:rsidR="005E3D07" w:rsidRPr="00776DE5" w:rsidRDefault="00BF170A" w:rsidP="00C83682">
      <w:pPr>
        <w:pStyle w:val="BodyText"/>
        <w:numPr>
          <w:ilvl w:val="0"/>
          <w:numId w:val="3"/>
        </w:numPr>
        <w:tabs>
          <w:tab w:val="left" w:pos="432"/>
          <w:tab w:val="left" w:pos="1763"/>
          <w:tab w:val="right" w:pos="7657"/>
          <w:tab w:val="left" w:pos="7826"/>
          <w:tab w:val="left" w:pos="8584"/>
          <w:tab w:val="right" w:pos="10330"/>
          <w:tab w:val="right" w:pos="10686"/>
        </w:tabs>
        <w:spacing w:after="120" w:line="360" w:lineRule="auto"/>
        <w:jc w:val="both"/>
        <w:rPr>
          <w:rFonts w:ascii="Arial" w:hAnsi="Arial" w:cs="Arial"/>
          <w:color w:val="010000"/>
          <w:sz w:val="20"/>
        </w:rPr>
      </w:pPr>
      <w:r w:rsidRPr="00776DE5">
        <w:rPr>
          <w:rFonts w:ascii="Arial" w:hAnsi="Arial" w:cs="Arial"/>
          <w:color w:val="010000"/>
          <w:sz w:val="20"/>
        </w:rPr>
        <w:t>Loan contracts and transactions with interest rates no higher than the short-term lending interest rates of the bank that Ladophar is trading with at the same time;</w:t>
      </w:r>
    </w:p>
    <w:p w14:paraId="1270E28A" w14:textId="77777777" w:rsidR="005E3D07" w:rsidRPr="00776DE5" w:rsidRDefault="00BF170A" w:rsidP="00C83682">
      <w:pPr>
        <w:pStyle w:val="BodyText"/>
        <w:numPr>
          <w:ilvl w:val="0"/>
          <w:numId w:val="3"/>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t>Loan contracts and transactions with interest rates not lower than the interest rate for individual loans of the bank that Ladophar is performing transactions with.</w:t>
      </w:r>
    </w:p>
    <w:p w14:paraId="0FAF934A" w14:textId="77777777" w:rsidR="005E3D07" w:rsidRPr="00776DE5" w:rsidRDefault="00BF170A" w:rsidP="00C83682">
      <w:pPr>
        <w:pStyle w:val="BodyText"/>
        <w:numPr>
          <w:ilvl w:val="0"/>
          <w:numId w:val="4"/>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t>Contract and transaction value:</w:t>
      </w:r>
    </w:p>
    <w:p w14:paraId="5DB2387A" w14:textId="033762EF" w:rsidR="005E3D07" w:rsidRPr="00776DE5" w:rsidRDefault="00BF170A" w:rsidP="00C83682">
      <w:pPr>
        <w:pStyle w:val="BodyText"/>
        <w:tabs>
          <w:tab w:val="left" w:pos="432"/>
        </w:tabs>
        <w:spacing w:after="120" w:line="360" w:lineRule="auto"/>
        <w:jc w:val="both"/>
        <w:rPr>
          <w:rFonts w:ascii="Arial" w:hAnsi="Arial" w:cs="Arial"/>
          <w:color w:val="010000"/>
          <w:sz w:val="20"/>
        </w:rPr>
      </w:pPr>
      <w:r w:rsidRPr="00776DE5">
        <w:rPr>
          <w:rFonts w:ascii="Arial" w:hAnsi="Arial" w:cs="Arial"/>
          <w:color w:val="010000"/>
          <w:sz w:val="20"/>
        </w:rPr>
        <w:t>Each contract and transaction must have a value of less than 35% of the total value of Ladophar's assets recorded in the most recent Financial Statements</w:t>
      </w:r>
      <w:r w:rsidR="00386FD9">
        <w:rPr>
          <w:rFonts w:ascii="Arial" w:hAnsi="Arial" w:cs="Arial"/>
          <w:color w:val="010000"/>
          <w:sz w:val="20"/>
        </w:rPr>
        <w:t>, and</w:t>
      </w:r>
      <w:bookmarkStart w:id="0" w:name="_GoBack"/>
      <w:bookmarkEnd w:id="0"/>
      <w:r w:rsidRPr="00776DE5">
        <w:rPr>
          <w:rFonts w:ascii="Arial" w:hAnsi="Arial" w:cs="Arial"/>
          <w:color w:val="010000"/>
          <w:sz w:val="20"/>
        </w:rPr>
        <w:t xml:space="preserve"> ensure the condition that the total value of contracts and transactions between Ladophar and affiliated parties arising within 12 months from the date of implementation of the first contract/transaction worth less than 35% of Ladophar's total asset value recorded on the most recent Financial Statements.</w:t>
      </w:r>
    </w:p>
    <w:p w14:paraId="192D7BCF" w14:textId="77777777" w:rsidR="005E3D07" w:rsidRPr="00776DE5" w:rsidRDefault="00BF170A" w:rsidP="00C83682">
      <w:pPr>
        <w:pStyle w:val="BodyText"/>
        <w:tabs>
          <w:tab w:val="left" w:pos="432"/>
        </w:tabs>
        <w:spacing w:after="120" w:line="360" w:lineRule="auto"/>
        <w:jc w:val="both"/>
        <w:rPr>
          <w:rFonts w:ascii="Arial" w:hAnsi="Arial" w:cs="Arial"/>
          <w:color w:val="010000"/>
          <w:sz w:val="20"/>
        </w:rPr>
      </w:pPr>
      <w:r w:rsidRPr="00776DE5">
        <w:rPr>
          <w:rFonts w:ascii="Arial" w:hAnsi="Arial" w:cs="Arial"/>
          <w:color w:val="010000"/>
          <w:sz w:val="20"/>
        </w:rPr>
        <w:t>Article 2: The Board of Directors assigns the General Manager to:</w:t>
      </w:r>
    </w:p>
    <w:p w14:paraId="00F385BA" w14:textId="3DB6D51A" w:rsidR="005E3D07" w:rsidRPr="00776DE5" w:rsidRDefault="00BF170A" w:rsidP="00C83682">
      <w:pPr>
        <w:pStyle w:val="BodyText"/>
        <w:numPr>
          <w:ilvl w:val="0"/>
          <w:numId w:val="3"/>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t>Proactively negotiate and decide on detailed contract contents and terms, contract value, contract implementation time, and decide on the list/type of collateral in case of borrowing from affiliated parties (if any), and decide on other contents of contracts and transactions with relevant partners mentioned above; Sign and implement contracts and transactions with affiliated parties throughout the contract implementation period, including adjusting the initially signed contents (if any), ensuring compliance with the provisions of Law, the Charter, internal regulations of the Company and for the highest legitimate interests of the Company;</w:t>
      </w:r>
      <w:r w:rsidR="00E6094D" w:rsidRPr="00776DE5">
        <w:rPr>
          <w:rFonts w:ascii="Arial" w:hAnsi="Arial" w:cs="Arial"/>
          <w:color w:val="010000"/>
          <w:sz w:val="20"/>
        </w:rPr>
        <w:t xml:space="preserve"> </w:t>
      </w:r>
    </w:p>
    <w:p w14:paraId="195DD5AA" w14:textId="77777777" w:rsidR="005E3D07" w:rsidRPr="00776DE5" w:rsidRDefault="00BF170A" w:rsidP="00C83682">
      <w:pPr>
        <w:pStyle w:val="BodyText"/>
        <w:numPr>
          <w:ilvl w:val="0"/>
          <w:numId w:val="3"/>
        </w:numPr>
        <w:tabs>
          <w:tab w:val="left" w:pos="432"/>
          <w:tab w:val="left" w:pos="1763"/>
        </w:tabs>
        <w:spacing w:after="120" w:line="360" w:lineRule="auto"/>
        <w:jc w:val="both"/>
        <w:rPr>
          <w:rFonts w:ascii="Arial" w:hAnsi="Arial" w:cs="Arial"/>
          <w:color w:val="010000"/>
          <w:sz w:val="20"/>
        </w:rPr>
      </w:pPr>
      <w:r w:rsidRPr="00776DE5">
        <w:rPr>
          <w:rFonts w:ascii="Arial" w:hAnsi="Arial" w:cs="Arial"/>
          <w:color w:val="010000"/>
          <w:sz w:val="20"/>
        </w:rPr>
        <w:t>Report to the Board of Directors according to the Company's regulations, and at the same time disclose information about contracts and transactions with affiliated parties in the Corporate Governance Report (Semi-annually and annually) to the State Securities Commission and Hanoi Stock Exchange according to regulations.</w:t>
      </w:r>
    </w:p>
    <w:p w14:paraId="3FDA8ADD" w14:textId="77777777" w:rsidR="005E3D07" w:rsidRPr="00776DE5" w:rsidRDefault="00BF170A" w:rsidP="00C83682">
      <w:pPr>
        <w:pStyle w:val="BodyText"/>
        <w:tabs>
          <w:tab w:val="left" w:pos="432"/>
        </w:tabs>
        <w:spacing w:after="120" w:line="360" w:lineRule="auto"/>
        <w:jc w:val="both"/>
        <w:rPr>
          <w:rFonts w:ascii="Arial" w:hAnsi="Arial" w:cs="Arial"/>
          <w:color w:val="010000"/>
          <w:sz w:val="20"/>
        </w:rPr>
      </w:pPr>
      <w:r w:rsidRPr="00776DE5">
        <w:rPr>
          <w:rFonts w:ascii="Arial" w:hAnsi="Arial" w:cs="Arial"/>
          <w:color w:val="010000"/>
          <w:sz w:val="20"/>
        </w:rPr>
        <w:t>Article 3: This Resolution takes effect on the date of its signing. The Executive Board, functional departments of Lam Dong Pharmaceutical JSC (Ladophar), and related individuals are responsible for implementing the contents of this Resolution accordingly.</w:t>
      </w:r>
    </w:p>
    <w:sectPr w:rsidR="005E3D07" w:rsidRPr="00776DE5" w:rsidSect="00A452D4">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9A83" w14:textId="77777777" w:rsidR="00801D17" w:rsidRDefault="00801D17">
      <w:r>
        <w:separator/>
      </w:r>
    </w:p>
  </w:endnote>
  <w:endnote w:type="continuationSeparator" w:id="0">
    <w:p w14:paraId="7BF2EDDF" w14:textId="77777777" w:rsidR="00801D17" w:rsidRDefault="0080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1B4F" w14:textId="77777777" w:rsidR="00801D17" w:rsidRDefault="00801D17"/>
  </w:footnote>
  <w:footnote w:type="continuationSeparator" w:id="0">
    <w:p w14:paraId="061F6AC5" w14:textId="77777777" w:rsidR="00801D17" w:rsidRDefault="00801D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109AD"/>
    <w:multiLevelType w:val="multilevel"/>
    <w:tmpl w:val="4F94353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67172D"/>
    <w:multiLevelType w:val="hybridMultilevel"/>
    <w:tmpl w:val="509AB100"/>
    <w:lvl w:ilvl="0" w:tplc="8AA096D4">
      <w:start w:val="1"/>
      <w:numFmt w:val="bullet"/>
      <w:lvlText w:val=""/>
      <w:lvlJc w:val="left"/>
      <w:pPr>
        <w:ind w:left="720" w:hanging="360"/>
      </w:pPr>
      <w:rPr>
        <w:rFonts w:ascii="Symbol" w:hAnsi="Symbol" w:hint="default"/>
        <w:b w:val="0"/>
        <w:i w:val="0"/>
        <w:sz w:val="20"/>
      </w:rPr>
    </w:lvl>
    <w:lvl w:ilvl="1" w:tplc="D34E0B46" w:tentative="1">
      <w:start w:val="1"/>
      <w:numFmt w:val="bullet"/>
      <w:lvlText w:val="o"/>
      <w:lvlJc w:val="left"/>
      <w:pPr>
        <w:ind w:left="1440" w:hanging="360"/>
      </w:pPr>
      <w:rPr>
        <w:rFonts w:ascii="Courier New" w:hAnsi="Courier New" w:cs="Courier New" w:hint="default"/>
        <w:b w:val="0"/>
        <w:i w:val="0"/>
        <w:sz w:val="20"/>
      </w:rPr>
    </w:lvl>
    <w:lvl w:ilvl="2" w:tplc="D61C930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F695A9B"/>
    <w:multiLevelType w:val="multilevel"/>
    <w:tmpl w:val="D71874C2"/>
    <w:lvl w:ilvl="0">
      <w:start w:val="1"/>
      <w:numFmt w:val="lowerLetter"/>
      <w:lvlText w:val="%1."/>
      <w:lvlJc w:val="left"/>
      <w:rPr>
        <w:rFonts w:ascii="Arial" w:eastAsia="Times New Roman" w:hAnsi="Arial" w:cs="Arial"/>
        <w:b w:val="0"/>
        <w:bCs/>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537CFA"/>
    <w:multiLevelType w:val="multilevel"/>
    <w:tmpl w:val="BE820EA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C11645"/>
    <w:multiLevelType w:val="multilevel"/>
    <w:tmpl w:val="FBEEA55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BD3348"/>
    <w:multiLevelType w:val="multilevel"/>
    <w:tmpl w:val="323EE9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07"/>
    <w:rsid w:val="00386FD9"/>
    <w:rsid w:val="005E3D07"/>
    <w:rsid w:val="005E3E80"/>
    <w:rsid w:val="00776DE5"/>
    <w:rsid w:val="007E1DCF"/>
    <w:rsid w:val="00801D17"/>
    <w:rsid w:val="00901CE1"/>
    <w:rsid w:val="00A452D4"/>
    <w:rsid w:val="00BF170A"/>
    <w:rsid w:val="00C83682"/>
    <w:rsid w:val="00E6094D"/>
    <w:rsid w:val="00E75341"/>
    <w:rsid w:val="00E95D64"/>
    <w:rsid w:val="00F462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87F61"/>
  <w15:docId w15:val="{CE5D7984-DF90-4014-8363-8DE23A7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Times New Roman" w:eastAsia="Times New Roman" w:hAnsi="Times New Roman" w:cs="Times New Roman"/>
      <w:sz w:val="10"/>
      <w:szCs w:val="10"/>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15"/>
      <w:szCs w:val="15"/>
    </w:rPr>
  </w:style>
  <w:style w:type="paragraph" w:customStyle="1" w:styleId="Heading20">
    <w:name w:val="Heading #2"/>
    <w:basedOn w:val="Normal"/>
    <w:link w:val="Heading2"/>
    <w:pPr>
      <w:spacing w:line="226" w:lineRule="auto"/>
      <w:ind w:left="3480"/>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752</Words>
  <Characters>4287</Characters>
  <Application>Microsoft Office Word</Application>
  <DocSecurity>0</DocSecurity>
  <Lines>62</Lines>
  <Paragraphs>25</Paragraphs>
  <ScaleCrop>false</ScaleCrop>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Huong</dc:creator>
  <cp:keywords/>
  <cp:lastModifiedBy>Nguyen Thi Quynh Trang</cp:lastModifiedBy>
  <cp:revision>10</cp:revision>
  <dcterms:created xsi:type="dcterms:W3CDTF">2024-02-27T03:40:00Z</dcterms:created>
  <dcterms:modified xsi:type="dcterms:W3CDTF">2024-02-28T08:09:00Z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502c2284cc4f8d3128926a86606b26081f009ea40495228d9a8c9bf7670d5131</vt:lpwstr>
  </property>
</Properties>
</file>