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1396" w:rsidRPr="00F91F3F" w:rsidRDefault="00751EBF" w:rsidP="00751EBF">
      <w:pPr>
        <w:pBdr>
          <w:top w:val="nil"/>
          <w:left w:val="nil"/>
          <w:bottom w:val="nil"/>
          <w:right w:val="nil"/>
          <w:between w:val="nil"/>
        </w:pBdr>
        <w:tabs>
          <w:tab w:val="left" w:pos="491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91F3F">
        <w:rPr>
          <w:rFonts w:ascii="Arial" w:hAnsi="Arial" w:cs="Arial"/>
          <w:b/>
          <w:color w:val="010000"/>
          <w:sz w:val="20"/>
        </w:rPr>
        <w:t>PXL: Board Resolution</w:t>
      </w:r>
    </w:p>
    <w:p w14:paraId="00000002" w14:textId="77777777" w:rsidR="00641396" w:rsidRPr="00F91F3F" w:rsidRDefault="00751EBF" w:rsidP="00751EBF">
      <w:pPr>
        <w:pBdr>
          <w:top w:val="nil"/>
          <w:left w:val="nil"/>
          <w:bottom w:val="nil"/>
          <w:right w:val="nil"/>
          <w:between w:val="nil"/>
        </w:pBdr>
        <w:tabs>
          <w:tab w:val="left" w:pos="49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1F3F">
        <w:rPr>
          <w:rFonts w:ascii="Arial" w:hAnsi="Arial" w:cs="Arial"/>
          <w:color w:val="010000"/>
          <w:sz w:val="20"/>
        </w:rPr>
        <w:t>On February 26, 2024, Long Son Petroleum Industrial Zone Investment Joint Stock Company announced Resolution No. 10/NQ-HDQT on approving the plan to organize the Annual General Meeting of Shareholders 2024 as follows:</w:t>
      </w:r>
    </w:p>
    <w:p w14:paraId="00000003" w14:textId="77777777" w:rsidR="00641396" w:rsidRPr="00F91F3F" w:rsidRDefault="00751EBF" w:rsidP="00751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1F3F">
        <w:rPr>
          <w:rFonts w:ascii="Arial" w:hAnsi="Arial" w:cs="Arial"/>
          <w:color w:val="010000"/>
          <w:sz w:val="20"/>
        </w:rPr>
        <w:t>Article 1: Approve the plan to organize the Annual General Meeting of Shareholders 2024 (details according to Proposal No. 24/TTr-TGD dated February 23, 2024 of Long Son Petroleum Industrial Zone Investment Joint Stock Company’s General Manager).</w:t>
      </w:r>
    </w:p>
    <w:p w14:paraId="00000004" w14:textId="77777777" w:rsidR="00641396" w:rsidRPr="00F91F3F" w:rsidRDefault="00751EBF" w:rsidP="00751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1F3F">
        <w:rPr>
          <w:rFonts w:ascii="Arial" w:hAnsi="Arial" w:cs="Arial"/>
          <w:color w:val="010000"/>
          <w:sz w:val="20"/>
        </w:rPr>
        <w:t>Article 2: The Company’s General Manager directs the implementation of subsequent work to ensure compliance with the law and the Company's Charter.</w:t>
      </w:r>
    </w:p>
    <w:p w14:paraId="00000005" w14:textId="77777777" w:rsidR="00641396" w:rsidRPr="00F91F3F" w:rsidRDefault="00751EBF" w:rsidP="00751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F91F3F">
        <w:rPr>
          <w:rFonts w:ascii="Arial" w:hAnsi="Arial" w:cs="Arial"/>
          <w:color w:val="010000"/>
          <w:sz w:val="20"/>
        </w:rPr>
        <w:t>Article 3: Members of the Board of Directors, the Board of Management, and Heads of related departments are responsible for implementing this Resolution.</w:t>
      </w:r>
    </w:p>
    <w:sectPr w:rsidR="00641396" w:rsidRPr="00F91F3F" w:rsidSect="00C544D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96"/>
    <w:rsid w:val="00641396"/>
    <w:rsid w:val="00751EBF"/>
    <w:rsid w:val="00C544DA"/>
    <w:rsid w:val="00F56877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93A291-28D7-40FC-AFA6-7387DEE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IXekeghctKEx0EuP/Rm2qck7w==">CgMxLjAyCGguZ2pkZ3hzOAByITFKUy11YU5JVWhVdG5fY0YyX0MxTzYyelljZUpURzRQTA==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10</Lines>
  <Paragraphs>10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Minh Hiếu Kiều</cp:lastModifiedBy>
  <cp:revision>4</cp:revision>
  <dcterms:created xsi:type="dcterms:W3CDTF">2024-02-27T04:52:00Z</dcterms:created>
  <dcterms:modified xsi:type="dcterms:W3CDTF">2024-02-27T23:44:00Z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b289219a86aa0fd78cf607f1bdde969ed704147efc1f954724757e7e8c066228</vt:lpwstr>
  </property>
</Properties>
</file>