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444568" w:rsidR="004531B1" w:rsidRPr="00A0672D" w:rsidRDefault="006E3D3D" w:rsidP="00D41DE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672D">
        <w:rPr>
          <w:rFonts w:ascii="Arial" w:hAnsi="Arial" w:cs="Arial"/>
          <w:b/>
          <w:color w:val="010000"/>
          <w:sz w:val="20"/>
        </w:rPr>
        <w:t>SGC: Board Resolution</w:t>
      </w:r>
    </w:p>
    <w:p w14:paraId="00000002" w14:textId="77777777" w:rsidR="004531B1" w:rsidRPr="00A0672D" w:rsidRDefault="006E3D3D" w:rsidP="00D41DE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On February 23, 2024, Sa Giang Import Export Corporation announced Resolution No. 04/2024/NQ-HDQT on convening the Annual General Meeting of Shareholders 2024 as follows:</w:t>
      </w:r>
    </w:p>
    <w:p w14:paraId="00000003" w14:textId="77777777" w:rsidR="004531B1" w:rsidRPr="00A0672D" w:rsidRDefault="006E3D3D" w:rsidP="00D41DE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‎‎Article 1. Approve the date to hold the Annual General Meeting of Shareholders 2024:</w:t>
      </w:r>
    </w:p>
    <w:p w14:paraId="00000004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Record date for the list of shareholders to attend: March 15, 2024</w:t>
      </w:r>
    </w:p>
    <w:p w14:paraId="00000005" w14:textId="53DBE360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Meeting time: Expected on April 17, 2024</w:t>
      </w:r>
    </w:p>
    <w:p w14:paraId="00000006" w14:textId="08C155B6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0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 xml:space="preserve">Venue: The Company Hall (Lot CII-3, C Industrial </w:t>
      </w:r>
      <w:r w:rsidR="00A0672D" w:rsidRPr="00A0672D">
        <w:rPr>
          <w:rFonts w:ascii="Arial" w:hAnsi="Arial" w:cs="Arial"/>
          <w:color w:val="010000"/>
          <w:sz w:val="20"/>
        </w:rPr>
        <w:t>Park</w:t>
      </w:r>
      <w:r w:rsidRPr="00A0672D">
        <w:rPr>
          <w:rFonts w:ascii="Arial" w:hAnsi="Arial" w:cs="Arial"/>
          <w:color w:val="010000"/>
          <w:sz w:val="20"/>
        </w:rPr>
        <w:t>, Sa Dec, Dong Thap Province).</w:t>
      </w:r>
    </w:p>
    <w:p w14:paraId="00000007" w14:textId="77777777" w:rsidR="004531B1" w:rsidRPr="00A0672D" w:rsidRDefault="006E3D3D" w:rsidP="00D41DE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Audited Financial Statements 2023;</w:t>
      </w:r>
    </w:p>
    <w:p w14:paraId="00000009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Report on activities of the Board of Directors in 2023 and orientation in 2024;</w:t>
      </w:r>
    </w:p>
    <w:p w14:paraId="0000000A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Report on the activities of the Supervisory Board in 2023;</w:t>
      </w:r>
    </w:p>
    <w:p w14:paraId="0000000B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Proposal on the profit distribution plan in 2023;</w:t>
      </w:r>
      <w:bookmarkStart w:id="0" w:name="_GoBack"/>
      <w:bookmarkEnd w:id="0"/>
    </w:p>
    <w:p w14:paraId="0000000C" w14:textId="77777777" w:rsidR="004531B1" w:rsidRPr="00A0672D" w:rsidRDefault="006E3D3D" w:rsidP="00D41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>Other issues under the authorities of the General Meeting of Shareholders.</w:t>
      </w:r>
    </w:p>
    <w:p w14:paraId="0000000D" w14:textId="039D1139" w:rsidR="004531B1" w:rsidRPr="00A0672D" w:rsidRDefault="006E3D3D" w:rsidP="00D41DE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72D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the Supervisory Board, </w:t>
      </w:r>
      <w:r w:rsidR="00A0672D" w:rsidRPr="00A0672D">
        <w:rPr>
          <w:rFonts w:ascii="Arial" w:hAnsi="Arial" w:cs="Arial"/>
          <w:color w:val="010000"/>
          <w:sz w:val="20"/>
        </w:rPr>
        <w:t xml:space="preserve">the </w:t>
      </w:r>
      <w:r w:rsidRPr="00A0672D">
        <w:rPr>
          <w:rFonts w:ascii="Arial" w:hAnsi="Arial" w:cs="Arial"/>
          <w:color w:val="010000"/>
          <w:sz w:val="20"/>
        </w:rPr>
        <w:t>Board of Management are responsible for the implementation.</w:t>
      </w:r>
    </w:p>
    <w:sectPr w:rsidR="004531B1" w:rsidRPr="00A0672D" w:rsidSect="005857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666E"/>
    <w:multiLevelType w:val="multilevel"/>
    <w:tmpl w:val="BEDA43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1"/>
    <w:rsid w:val="004531B1"/>
    <w:rsid w:val="005857EE"/>
    <w:rsid w:val="006E3D3D"/>
    <w:rsid w:val="00A0672D"/>
    <w:rsid w:val="00D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1D08D"/>
  <w15:docId w15:val="{EDAE51D1-6052-4458-B854-698A3FE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363B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0608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E363B"/>
      <w:sz w:val="9"/>
      <w:szCs w:val="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E0608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Ny1BzBOa0d7B0mMg5K/PESSecg==">CgMxLjA4AHIhMXIySGNqSi1xZ0V4aU12VmJSREFBeTZVb1gwdS1majZE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2024-02-27T03:51:00Z</dcterms:created>
  <dcterms:modified xsi:type="dcterms:W3CDTF">2024-02-28T08:06:00Z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2ff6807d013ae4a5be086cd2f59882717da4a0f10ed6361ebdd3179228db8bf0</vt:lpwstr>
  </property>
</Properties>
</file>