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8265B8E" w:rsidR="0093753B" w:rsidRPr="003C08D3" w:rsidRDefault="00A738E0" w:rsidP="000D7EB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C08D3">
        <w:rPr>
          <w:rFonts w:ascii="Arial" w:hAnsi="Arial" w:cs="Arial"/>
          <w:b/>
          <w:color w:val="010000"/>
          <w:sz w:val="20"/>
        </w:rPr>
        <w:t>SMN: Board Resolution</w:t>
      </w:r>
    </w:p>
    <w:p w14:paraId="00000002" w14:textId="77777777" w:rsidR="0093753B" w:rsidRPr="003C08D3" w:rsidRDefault="00A738E0" w:rsidP="000D7EB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8D3">
        <w:rPr>
          <w:rFonts w:ascii="Arial" w:hAnsi="Arial" w:cs="Arial"/>
          <w:color w:val="010000"/>
          <w:sz w:val="20"/>
        </w:rPr>
        <w:t>On February 23, 2024, South Books &amp; Educational Equipment JSC announced Resolution No. 01/NQ-HDQT on the record date to exercise the rights of existing shareholders as follows:</w:t>
      </w:r>
    </w:p>
    <w:p w14:paraId="00000003" w14:textId="77777777" w:rsidR="0093753B" w:rsidRPr="003C08D3" w:rsidRDefault="00A738E0" w:rsidP="000D7EB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8D3">
        <w:rPr>
          <w:rFonts w:ascii="Arial" w:hAnsi="Arial" w:cs="Arial"/>
          <w:color w:val="010000"/>
          <w:sz w:val="20"/>
        </w:rPr>
        <w:t>‎‎Article 1. Decide on the record date for the list of securities owners of South Books &amp; Educational Equipment JSC, securities code SMN, in order to organize the Annual General Meeting of Shareholders 2024, and carry out dividends prepayment of 2023 as follows:</w:t>
      </w:r>
    </w:p>
    <w:p w14:paraId="00000004" w14:textId="77777777" w:rsidR="0093753B" w:rsidRPr="003C08D3" w:rsidRDefault="00A738E0" w:rsidP="000D7E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1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C08D3">
        <w:rPr>
          <w:rFonts w:ascii="Arial" w:hAnsi="Arial" w:cs="Arial"/>
          <w:color w:val="010000"/>
          <w:sz w:val="20"/>
        </w:rPr>
        <w:t>Organize the Annual General Meeting of Shareholders 2024:</w:t>
      </w:r>
    </w:p>
    <w:p w14:paraId="00000005" w14:textId="77777777" w:rsidR="0093753B" w:rsidRPr="003C08D3" w:rsidRDefault="00A738E0" w:rsidP="000D7E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56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C08D3">
        <w:rPr>
          <w:rFonts w:ascii="Arial" w:hAnsi="Arial" w:cs="Arial"/>
          <w:color w:val="010000"/>
          <w:sz w:val="20"/>
        </w:rPr>
        <w:t>Record date: March 18, 2024</w:t>
      </w:r>
    </w:p>
    <w:p w14:paraId="00000006" w14:textId="77777777" w:rsidR="0093753B" w:rsidRPr="003C08D3" w:rsidRDefault="00A738E0" w:rsidP="000D7E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56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C08D3">
        <w:rPr>
          <w:rFonts w:ascii="Arial" w:hAnsi="Arial" w:cs="Arial"/>
          <w:color w:val="010000"/>
          <w:sz w:val="20"/>
        </w:rPr>
        <w:t>Expected time to organize the Annual General Meeting of Shareholders ‎‎2024: April 22, 2024</w:t>
      </w:r>
    </w:p>
    <w:p w14:paraId="00000007" w14:textId="77777777" w:rsidR="0093753B" w:rsidRPr="003C08D3" w:rsidRDefault="00A738E0" w:rsidP="000D7E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56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C08D3">
        <w:rPr>
          <w:rFonts w:ascii="Arial" w:hAnsi="Arial" w:cs="Arial"/>
          <w:color w:val="010000"/>
          <w:sz w:val="20"/>
        </w:rPr>
        <w:t>Venue and content of the Annual General Meeting o</w:t>
      </w:r>
      <w:bookmarkStart w:id="0" w:name="_GoBack"/>
      <w:bookmarkEnd w:id="0"/>
      <w:r w:rsidRPr="003C08D3">
        <w:rPr>
          <w:rFonts w:ascii="Arial" w:hAnsi="Arial" w:cs="Arial"/>
          <w:color w:val="010000"/>
          <w:sz w:val="20"/>
        </w:rPr>
        <w:t>f Shareholders 2024: Shall be attached to the Invitation Letter.</w:t>
      </w:r>
    </w:p>
    <w:p w14:paraId="00000008" w14:textId="02A90014" w:rsidR="0093753B" w:rsidRPr="003C08D3" w:rsidRDefault="003C08D3" w:rsidP="000D7E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1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C08D3">
        <w:rPr>
          <w:rFonts w:ascii="Arial" w:hAnsi="Arial" w:cs="Arial"/>
          <w:color w:val="010000"/>
          <w:sz w:val="20"/>
        </w:rPr>
        <w:t>Prepayment of</w:t>
      </w:r>
      <w:r w:rsidR="00A738E0" w:rsidRPr="003C08D3">
        <w:rPr>
          <w:rFonts w:ascii="Arial" w:hAnsi="Arial" w:cs="Arial"/>
          <w:color w:val="010000"/>
          <w:sz w:val="20"/>
        </w:rPr>
        <w:t xml:space="preserve"> dividends in 2023:</w:t>
      </w:r>
    </w:p>
    <w:p w14:paraId="00000009" w14:textId="77777777" w:rsidR="0093753B" w:rsidRPr="003C08D3" w:rsidRDefault="00A738E0" w:rsidP="000D7E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55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C08D3">
        <w:rPr>
          <w:rFonts w:ascii="Arial" w:hAnsi="Arial" w:cs="Arial"/>
          <w:color w:val="010000"/>
          <w:sz w:val="20"/>
        </w:rPr>
        <w:t>Record date: March 18, 2024</w:t>
      </w:r>
    </w:p>
    <w:p w14:paraId="0000000A" w14:textId="77777777" w:rsidR="0093753B" w:rsidRPr="003C08D3" w:rsidRDefault="00A738E0" w:rsidP="000D7E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55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C08D3">
        <w:rPr>
          <w:rFonts w:ascii="Arial" w:hAnsi="Arial" w:cs="Arial"/>
          <w:color w:val="010000"/>
          <w:sz w:val="20"/>
        </w:rPr>
        <w:t>Dividends prepayment rate of 2023 in cash: 11%</w:t>
      </w:r>
    </w:p>
    <w:p w14:paraId="0000000B" w14:textId="77777777" w:rsidR="0093753B" w:rsidRPr="003C08D3" w:rsidRDefault="00A738E0" w:rsidP="000D7E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55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3C08D3">
        <w:rPr>
          <w:rFonts w:ascii="Arial" w:hAnsi="Arial" w:cs="Arial"/>
          <w:color w:val="010000"/>
          <w:sz w:val="20"/>
        </w:rPr>
        <w:t>Payment date for dividends prepayment of 2023: May 02, 2024.</w:t>
      </w:r>
    </w:p>
    <w:p w14:paraId="0000000C" w14:textId="21DCDEF9" w:rsidR="0093753B" w:rsidRPr="003C08D3" w:rsidRDefault="00A738E0" w:rsidP="000D7EB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8D3">
        <w:rPr>
          <w:rFonts w:ascii="Arial" w:hAnsi="Arial" w:cs="Arial"/>
          <w:color w:val="010000"/>
          <w:sz w:val="20"/>
        </w:rPr>
        <w:t xml:space="preserve">‎‎Article 2. Members of </w:t>
      </w:r>
      <w:r w:rsidR="003C08D3" w:rsidRPr="003C08D3">
        <w:rPr>
          <w:rFonts w:ascii="Arial" w:hAnsi="Arial" w:cs="Arial"/>
          <w:color w:val="010000"/>
          <w:sz w:val="20"/>
        </w:rPr>
        <w:t xml:space="preserve">the </w:t>
      </w:r>
      <w:r w:rsidRPr="003C08D3">
        <w:rPr>
          <w:rFonts w:ascii="Arial" w:hAnsi="Arial" w:cs="Arial"/>
          <w:color w:val="010000"/>
          <w:sz w:val="20"/>
        </w:rPr>
        <w:t xml:space="preserve">Board of Directors, the Supervisory Board, the Board of Management of the Company, </w:t>
      </w:r>
      <w:r w:rsidR="003C08D3" w:rsidRPr="003C08D3">
        <w:rPr>
          <w:rFonts w:ascii="Arial" w:hAnsi="Arial" w:cs="Arial"/>
          <w:color w:val="010000"/>
          <w:sz w:val="20"/>
        </w:rPr>
        <w:t xml:space="preserve">the </w:t>
      </w:r>
      <w:r w:rsidRPr="003C08D3">
        <w:rPr>
          <w:rFonts w:ascii="Arial" w:hAnsi="Arial" w:cs="Arial"/>
          <w:color w:val="010000"/>
          <w:sz w:val="20"/>
        </w:rPr>
        <w:t>Internal Audit Committee, related groups and individuals are responsible for the implementation of this Resolution./.</w:t>
      </w:r>
    </w:p>
    <w:sectPr w:rsidR="0093753B" w:rsidRPr="003C08D3" w:rsidSect="00D6758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309"/>
    <w:multiLevelType w:val="multilevel"/>
    <w:tmpl w:val="7F8215B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656750"/>
    <w:multiLevelType w:val="multilevel"/>
    <w:tmpl w:val="5B52E25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A825ADE"/>
    <w:multiLevelType w:val="multilevel"/>
    <w:tmpl w:val="930E2DC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3B"/>
    <w:rsid w:val="000D7EB7"/>
    <w:rsid w:val="003C08D3"/>
    <w:rsid w:val="0093753B"/>
    <w:rsid w:val="00A738E0"/>
    <w:rsid w:val="00D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AAF16"/>
  <w15:docId w15:val="{EDAE51D1-6052-4458-B854-698A3FEF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/>
      <w:bCs/>
      <w:i w:val="0"/>
      <w:iCs w:val="0"/>
      <w:smallCaps w:val="0"/>
      <w:strike w:val="0"/>
      <w:color w:val="CA3C4F"/>
      <w:w w:val="7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Segoe UI" w:eastAsia="Segoe UI" w:hAnsi="Segoe UI" w:cs="Segoe UI"/>
      <w:b/>
      <w:bCs/>
      <w:color w:val="CA3C4F"/>
      <w:w w:val="70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OvRd7ZTY8TGFUhvs71O39v2OEg==">CgMxLjA4AHIhMUQ5OEFBN0Itekd2WnZRZjFVaHlnX1hmb0FzLVdPVzZy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2024-02-27T03:56:00Z</dcterms:created>
  <dcterms:modified xsi:type="dcterms:W3CDTF">2024-02-28T08:06:00Z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c916faba27f34e19e1f6e00b0c95a8739da6c16d056aac45a49785c9fb54af95</vt:lpwstr>
  </property>
</Properties>
</file>