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ED6AB28" w:rsidR="00216A91" w:rsidRPr="00B51E1F" w:rsidRDefault="00887D99" w:rsidP="00887D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B51E1F">
        <w:rPr>
          <w:rFonts w:ascii="Arial" w:hAnsi="Arial" w:cs="Arial"/>
          <w:b/>
          <w:color w:val="010000"/>
          <w:sz w:val="20"/>
        </w:rPr>
        <w:t>BCB</w:t>
      </w:r>
      <w:proofErr w:type="spellEnd"/>
      <w:r w:rsidRPr="00B51E1F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216A91" w:rsidRPr="00B51E1F" w:rsidRDefault="00887D99" w:rsidP="00887D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1E1F">
        <w:rPr>
          <w:rFonts w:ascii="Arial" w:hAnsi="Arial" w:cs="Arial"/>
          <w:color w:val="010000"/>
          <w:sz w:val="20"/>
        </w:rPr>
        <w:t xml:space="preserve">On February 26, 2024, 397 Joint Stock Company announced Board Resolution No. </w:t>
      </w:r>
      <w:proofErr w:type="spellStart"/>
      <w:r w:rsidRPr="00B51E1F">
        <w:rPr>
          <w:rFonts w:ascii="Arial" w:hAnsi="Arial" w:cs="Arial"/>
          <w:color w:val="010000"/>
          <w:sz w:val="20"/>
        </w:rPr>
        <w:t>02B</w:t>
      </w:r>
      <w:proofErr w:type="spellEnd"/>
      <w:r w:rsidRPr="00B51E1F">
        <w:rPr>
          <w:rFonts w:ascii="Arial" w:hAnsi="Arial" w:cs="Arial"/>
          <w:color w:val="010000"/>
          <w:sz w:val="20"/>
        </w:rPr>
        <w:t>/2024/NQ-</w:t>
      </w:r>
      <w:proofErr w:type="spellStart"/>
      <w:r w:rsidRPr="00B51E1F">
        <w:rPr>
          <w:rFonts w:ascii="Arial" w:hAnsi="Arial" w:cs="Arial"/>
          <w:color w:val="010000"/>
          <w:sz w:val="20"/>
        </w:rPr>
        <w:t>HDQT</w:t>
      </w:r>
      <w:proofErr w:type="spellEnd"/>
      <w:r w:rsidRPr="00B51E1F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216A91" w:rsidRPr="00B51E1F" w:rsidRDefault="00887D99" w:rsidP="00887D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1E1F">
        <w:rPr>
          <w:rFonts w:ascii="Arial" w:hAnsi="Arial" w:cs="Arial"/>
          <w:color w:val="010000"/>
          <w:sz w:val="20"/>
        </w:rPr>
        <w:t xml:space="preserve">‎‎Article 1. Approve the time to organize the Annual General Meeting of Shareholders 2024. </w:t>
      </w:r>
    </w:p>
    <w:p w14:paraId="00000004" w14:textId="77777777" w:rsidR="00216A91" w:rsidRPr="00B51E1F" w:rsidRDefault="00887D99" w:rsidP="00887D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1E1F">
        <w:rPr>
          <w:rFonts w:ascii="Arial" w:hAnsi="Arial" w:cs="Arial"/>
          <w:color w:val="010000"/>
          <w:sz w:val="20"/>
        </w:rPr>
        <w:t>The time to organize the Annual General Meeting of Shareholders 2024 is April 22, 2024 (Monday).</w:t>
      </w:r>
    </w:p>
    <w:p w14:paraId="00000005" w14:textId="77777777" w:rsidR="00216A91" w:rsidRPr="00B51E1F" w:rsidRDefault="00887D99" w:rsidP="00887D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1E1F">
        <w:rPr>
          <w:rFonts w:ascii="Arial" w:hAnsi="Arial" w:cs="Arial"/>
          <w:color w:val="010000"/>
          <w:sz w:val="20"/>
        </w:rPr>
        <w:t>‎‎Article 2. The Manager of the Company, members of the Board of Directors and related authorities of the Company are responsible for the implementation of this Resolution.</w:t>
      </w:r>
    </w:p>
    <w:p w14:paraId="00000006" w14:textId="77777777" w:rsidR="00216A91" w:rsidRPr="00B51E1F" w:rsidRDefault="00887D99" w:rsidP="00887D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1E1F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sectPr w:rsidR="00216A91" w:rsidRPr="00B51E1F" w:rsidSect="00887D9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1"/>
    <w:rsid w:val="00216A91"/>
    <w:rsid w:val="00887D99"/>
    <w:rsid w:val="00B51E1F"/>
    <w:rsid w:val="00C0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0D26"/>
  <w15:docId w15:val="{560951B3-B43D-4998-AC38-3323534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74271"/>
      <w:sz w:val="36"/>
      <w:szCs w:val="3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72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281" w:lineRule="auto"/>
      <w:ind w:left="142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pacing w:after="520" w:line="194" w:lineRule="auto"/>
      <w:ind w:right="2300"/>
      <w:jc w:val="right"/>
    </w:pPr>
    <w:rPr>
      <w:rFonts w:ascii="Arial" w:eastAsia="Arial" w:hAnsi="Arial" w:cs="Arial"/>
      <w:color w:val="974271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oeVA9QXxGbah17Lpu8enD3I0hA==">CgMxLjA4AHIhMVROSGl5TENhdUI3RXRtWjJuQXRQTEJQNTlkNGNTblpV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2024-02-29T07:15:00Z</dcterms:created>
  <dcterms:modified xsi:type="dcterms:W3CDTF">2024-02-29T07:15:00Z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6c4becb5a30596fb2bb80ac75c8a5517d539dba795cdd31b84d8cd40a31a79b1</vt:lpwstr>
  </property>
</Properties>
</file>