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DF21" w14:textId="77777777" w:rsidR="0006730F" w:rsidRDefault="00BA229C" w:rsidP="00CB3D40">
      <w:pPr>
        <w:tabs>
          <w:tab w:val="left" w:pos="360"/>
          <w:tab w:val="left" w:pos="5130"/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AAH: Annual Corporate Governance Report 2023</w:t>
      </w:r>
    </w:p>
    <w:p w14:paraId="2663CCA8" w14:textId="77777777" w:rsidR="0006730F" w:rsidRDefault="00BA229C" w:rsidP="00CB3D40">
      <w:pP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Hop </w:t>
      </w:r>
      <w:proofErr w:type="spellStart"/>
      <w:r>
        <w:rPr>
          <w:rFonts w:ascii="Arial" w:hAnsi="Arial"/>
          <w:color w:val="010000"/>
          <w:sz w:val="20"/>
        </w:rPr>
        <w:t>Nhat</w:t>
      </w:r>
      <w:proofErr w:type="spellEnd"/>
      <w:r>
        <w:rPr>
          <w:rFonts w:ascii="Arial" w:hAnsi="Arial"/>
          <w:color w:val="010000"/>
          <w:sz w:val="20"/>
        </w:rPr>
        <w:t xml:space="preserve"> Joint Stock Company announced Report No. 2901/BCQT-2023 on the corporate governance in 2023 as follows:</w:t>
      </w:r>
    </w:p>
    <w:p w14:paraId="5DAF1070" w14:textId="77777777" w:rsidR="0006730F" w:rsidRDefault="00BA229C" w:rsidP="00CB3D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Hop </w:t>
      </w:r>
      <w:proofErr w:type="spellStart"/>
      <w:r>
        <w:rPr>
          <w:rFonts w:ascii="Arial" w:hAnsi="Arial"/>
          <w:color w:val="010000"/>
          <w:sz w:val="20"/>
        </w:rPr>
        <w:t>Nhat</w:t>
      </w:r>
      <w:proofErr w:type="spellEnd"/>
      <w:r>
        <w:rPr>
          <w:rFonts w:ascii="Arial" w:hAnsi="Arial"/>
          <w:color w:val="010000"/>
          <w:sz w:val="20"/>
        </w:rPr>
        <w:t xml:space="preserve"> Joint Stock Company </w:t>
      </w:r>
    </w:p>
    <w:p w14:paraId="20167680" w14:textId="77777777" w:rsidR="0006730F" w:rsidRDefault="00BA229C" w:rsidP="00CB3D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Van Non Village, Luc Son Commune, Luc Nam District, Bac Giang Province</w:t>
      </w:r>
    </w:p>
    <w:p w14:paraId="18CCCFDD" w14:textId="77777777" w:rsidR="0006730F" w:rsidRDefault="00BA229C" w:rsidP="00CB3D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10"/>
          <w:tab w:val="left" w:pos="426"/>
          <w:tab w:val="left" w:pos="712"/>
          <w:tab w:val="left" w:pos="71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0204 3589599              Fax: 0204 3589981 Email:</w:t>
      </w:r>
    </w:p>
    <w:p w14:paraId="044F1014" w14:textId="77777777" w:rsidR="0006730F" w:rsidRDefault="00BA229C" w:rsidP="00CB3D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1,179,000,000,000</w:t>
      </w:r>
    </w:p>
    <w:p w14:paraId="68288AFB" w14:textId="77777777" w:rsidR="0006730F" w:rsidRDefault="00BA229C" w:rsidP="00CB3D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AAH</w:t>
      </w:r>
    </w:p>
    <w:p w14:paraId="7668B677" w14:textId="77777777" w:rsidR="0006730F" w:rsidRDefault="00BA229C" w:rsidP="00CB3D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2A2CFA07" w14:textId="5D011B7D" w:rsidR="0006730F" w:rsidRDefault="00BA229C" w:rsidP="00CB3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CB3D4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Board of Directors, the Supervisory Board, and the </w:t>
      </w:r>
      <w:r w:rsidR="00CB3D4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1A80AFB1" w14:textId="77777777" w:rsidR="0006730F" w:rsidRDefault="00BA229C" w:rsidP="00CB3D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Not executed.</w:t>
      </w:r>
    </w:p>
    <w:p w14:paraId="55E0E846" w14:textId="77669BD4" w:rsidR="0006730F" w:rsidRDefault="00BA229C" w:rsidP="00CB3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CB3D4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303BB081" w14:textId="566149B8" w:rsidR="0006730F" w:rsidRDefault="00BA229C" w:rsidP="00CB3D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CB3D4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CB3D40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7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1715"/>
        <w:gridCol w:w="1260"/>
        <w:gridCol w:w="5514"/>
      </w:tblGrid>
      <w:tr w:rsidR="0006730F" w14:paraId="0D947A21" w14:textId="77777777" w:rsidTr="00CB3D40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F0DF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8ADE6" w14:textId="0E887ABB" w:rsidR="0006730F" w:rsidRDefault="00BA229C" w:rsidP="00CB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</w:t>
            </w:r>
            <w:r w:rsidR="0022076F">
              <w:rPr>
                <w:rFonts w:ascii="Arial" w:hAnsi="Arial"/>
                <w:color w:val="010000"/>
                <w:sz w:val="20"/>
              </w:rPr>
              <w:t xml:space="preserve"> of the </w:t>
            </w:r>
            <w:r w:rsidR="00CB3D40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44EA8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5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A77D7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06730F" w14:paraId="52D650A4" w14:textId="77777777" w:rsidTr="00CB3D40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E03C1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2CCB1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01/2023/NQ-DHDCD-HN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38A60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2023</w:t>
            </w:r>
          </w:p>
        </w:tc>
        <w:tc>
          <w:tcPr>
            <w:tcW w:w="55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06A2D" w14:textId="77777777" w:rsidR="0006730F" w:rsidRDefault="00BA229C" w:rsidP="00047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activities of the Board of Management on business results in 2022 and plans for 2023;</w:t>
            </w:r>
          </w:p>
          <w:p w14:paraId="2CC6305E" w14:textId="77777777" w:rsidR="0006730F" w:rsidRDefault="00BA229C" w:rsidP="00047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360"/>
                <w:tab w:val="left" w:pos="394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activities of the Board of Directors in 2022 and the plan for 2023;</w:t>
            </w:r>
          </w:p>
          <w:p w14:paraId="4A3A4ED4" w14:textId="77777777" w:rsidR="0006730F" w:rsidRDefault="00BA229C" w:rsidP="00047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  <w:tab w:val="left" w:pos="394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activities of the Supervisory Board in 2022 and the plan for 2023;</w:t>
            </w:r>
          </w:p>
          <w:p w14:paraId="39EEFC33" w14:textId="77777777" w:rsidR="0006730F" w:rsidRDefault="00BA229C" w:rsidP="00047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360"/>
                <w:tab w:val="left" w:pos="394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Audited Financial Statements 2022;</w:t>
            </w:r>
          </w:p>
          <w:p w14:paraId="204DFA8F" w14:textId="77777777" w:rsidR="0006730F" w:rsidRDefault="00BA229C" w:rsidP="00047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  <w:tab w:val="left" w:pos="394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production and business results, the plan on profit distribution, dividend payment in 2022, and the plan for 2023;</w:t>
            </w:r>
          </w:p>
          <w:p w14:paraId="6A92051B" w14:textId="20CC7593" w:rsidR="0006730F" w:rsidRDefault="00BA229C" w:rsidP="00047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  <w:tab w:val="left" w:pos="360"/>
                <w:tab w:val="left" w:pos="394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remuneration for members o</w:t>
            </w:r>
            <w:r w:rsidR="00CB3D40">
              <w:rPr>
                <w:rFonts w:ascii="Arial" w:hAnsi="Arial"/>
                <w:color w:val="010000"/>
                <w:sz w:val="20"/>
              </w:rPr>
              <w:t>f the Board of Directors and</w:t>
            </w:r>
            <w:r>
              <w:rPr>
                <w:rFonts w:ascii="Arial" w:hAnsi="Arial"/>
                <w:color w:val="010000"/>
                <w:sz w:val="20"/>
              </w:rPr>
              <w:t xml:space="preserve"> Supervisory</w:t>
            </w:r>
            <w:r w:rsidR="00CB3D40">
              <w:rPr>
                <w:rFonts w:ascii="Arial" w:hAnsi="Arial"/>
                <w:color w:val="010000"/>
                <w:sz w:val="20"/>
              </w:rPr>
              <w:t xml:space="preserve"> Board in 2022 and </w:t>
            </w:r>
            <w:r>
              <w:rPr>
                <w:rFonts w:ascii="Arial" w:hAnsi="Arial"/>
                <w:color w:val="010000"/>
                <w:sz w:val="20"/>
              </w:rPr>
              <w:t>plan for 2023;</w:t>
            </w:r>
          </w:p>
          <w:p w14:paraId="7EDACFBF" w14:textId="77777777" w:rsidR="0006730F" w:rsidRDefault="00BA229C" w:rsidP="00047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  <w:tab w:val="left" w:pos="360"/>
                <w:tab w:val="left" w:pos="394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selection of an audit company for the Financial Statements 2023;</w:t>
            </w:r>
          </w:p>
          <w:p w14:paraId="2B60C4A7" w14:textId="77777777" w:rsidR="0006730F" w:rsidRDefault="00BA229C" w:rsidP="00047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  <w:tab w:val="left" w:pos="394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continued implementation of public company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registration, centralized depository and transaction registration on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UPCoM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market</w:t>
            </w:r>
          </w:p>
          <w:p w14:paraId="3A6514A8" w14:textId="4ABDCFD5" w:rsidR="0006730F" w:rsidRDefault="00BA229C" w:rsidP="00CB3D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  <w:tab w:val="left" w:pos="394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</w:t>
            </w:r>
            <w:r w:rsidR="00CB3D40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approves authorizing the Board of Directors to implement this General Mandate, based on the objectives, tasks and plans approved by the Annual </w:t>
            </w:r>
            <w:r w:rsidR="00CB3D40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</w:t>
            </w:r>
            <w:r w:rsidR="00CB3D40">
              <w:rPr>
                <w:rFonts w:ascii="Arial" w:hAnsi="Arial"/>
                <w:color w:val="010000"/>
                <w:sz w:val="20"/>
              </w:rPr>
              <w:t xml:space="preserve">f Hop </w:t>
            </w:r>
            <w:proofErr w:type="spellStart"/>
            <w:r w:rsidR="00CB3D40"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 w:rsidR="00CB3D40">
              <w:rPr>
                <w:rFonts w:ascii="Arial" w:hAnsi="Arial"/>
                <w:color w:val="010000"/>
                <w:sz w:val="20"/>
              </w:rPr>
              <w:t xml:space="preserve"> Joint Stock Company under applicable laws </w:t>
            </w:r>
            <w:r>
              <w:rPr>
                <w:rFonts w:ascii="Arial" w:hAnsi="Arial"/>
                <w:color w:val="010000"/>
                <w:sz w:val="20"/>
              </w:rPr>
              <w:t>and the Company's Charter.</w:t>
            </w:r>
          </w:p>
        </w:tc>
      </w:tr>
    </w:tbl>
    <w:p w14:paraId="02E074BB" w14:textId="0BF10FEE" w:rsidR="0006730F" w:rsidRDefault="00CB3D40" w:rsidP="00047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 </w:t>
      </w:r>
      <w:r w:rsidR="00BA229C">
        <w:rPr>
          <w:rFonts w:ascii="Arial" w:hAnsi="Arial"/>
          <w:color w:val="010000"/>
          <w:sz w:val="20"/>
        </w:rPr>
        <w:t>Board of Directors (Annual Report 2023)</w:t>
      </w:r>
    </w:p>
    <w:p w14:paraId="77EAD28B" w14:textId="77777777" w:rsidR="0006730F" w:rsidRDefault="00BA229C" w:rsidP="000474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6"/>
        <w:tblW w:w="9019" w:type="dxa"/>
        <w:tblLayout w:type="fixed"/>
        <w:tblLook w:val="0400" w:firstRow="0" w:lastRow="0" w:firstColumn="0" w:lastColumn="0" w:noHBand="0" w:noVBand="1"/>
      </w:tblPr>
      <w:tblGrid>
        <w:gridCol w:w="573"/>
        <w:gridCol w:w="2141"/>
        <w:gridCol w:w="2671"/>
        <w:gridCol w:w="1477"/>
        <w:gridCol w:w="2157"/>
      </w:tblGrid>
      <w:tr w:rsidR="0006730F" w14:paraId="755A5406" w14:textId="77777777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C0993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8062C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1A18C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F505A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6730F" w14:paraId="284BAC17" w14:textId="77777777">
        <w:trPr>
          <w:trHeight w:val="4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66763" w14:textId="77777777" w:rsidR="0006730F" w:rsidRDefault="0006730F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90885" w14:textId="77777777" w:rsidR="0006730F" w:rsidRDefault="0006730F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8C211" w14:textId="77777777" w:rsidR="0006730F" w:rsidRDefault="0006730F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9C172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EFFE5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06730F" w14:paraId="5110A10F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5B529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3D8B0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Dang Quoc Lich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C95E8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FA113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2012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32DCB" w14:textId="77777777" w:rsidR="0006730F" w:rsidRDefault="0006730F" w:rsidP="000474CE">
            <w:pP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6730F" w14:paraId="60E729FD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F8DE6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3750A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Dao Ngoc Thao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DDB39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FE457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78DC9" w14:textId="77777777" w:rsidR="0006730F" w:rsidRDefault="0006730F" w:rsidP="000474CE">
            <w:pP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6730F" w14:paraId="36B2D683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2C42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CB016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Bao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C2F9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B3190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93C7F" w14:textId="77777777" w:rsidR="0006730F" w:rsidRDefault="0006730F" w:rsidP="000474CE">
            <w:pP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6730F" w14:paraId="54A3A31C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C3B88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47F02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Vi Thanh Chinh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96F2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B1080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4E1B4" w14:textId="77777777" w:rsidR="0006730F" w:rsidRDefault="0006730F" w:rsidP="000474CE">
            <w:pP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6730F" w14:paraId="387677D6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55898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47684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381BE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51D0E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8836B" w14:textId="77777777" w:rsidR="0006730F" w:rsidRDefault="0006730F" w:rsidP="000474CE">
            <w:pP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3E03006" w14:textId="1942C806" w:rsidR="0006730F" w:rsidRDefault="00BA229C" w:rsidP="000474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69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(Annual Report 2023):</w:t>
      </w:r>
    </w:p>
    <w:tbl>
      <w:tblPr>
        <w:tblStyle w:val="5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734"/>
        <w:gridCol w:w="1506"/>
        <w:gridCol w:w="5243"/>
      </w:tblGrid>
      <w:tr w:rsidR="0006730F" w14:paraId="30D00729" w14:textId="77777777" w:rsidTr="004358D1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F2382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1F717" w14:textId="598D35EA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4358D1">
              <w:rPr>
                <w:rFonts w:ascii="Arial" w:hAnsi="Arial"/>
                <w:color w:val="010000"/>
                <w:sz w:val="20"/>
              </w:rPr>
              <w:t>rd Resolution/Board Decision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0DE0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2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3C1D7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06730F" w14:paraId="137489FA" w14:textId="77777777" w:rsidTr="004358D1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F7043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285F1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2403/NQ-HDQT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952F5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24, 2023</w:t>
            </w:r>
          </w:p>
        </w:tc>
        <w:tc>
          <w:tcPr>
            <w:tcW w:w="52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043C4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results in 2022 and the plan for 2023</w:t>
            </w:r>
          </w:p>
        </w:tc>
      </w:tr>
      <w:tr w:rsidR="0006730F" w14:paraId="442F17B6" w14:textId="77777777" w:rsidTr="004358D1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DF224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F435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2907/NQ-HDQT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84363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52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E2FD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production and business results in the first 6 months of the year and implement plans for the last 6 months of the year</w:t>
            </w:r>
          </w:p>
        </w:tc>
      </w:tr>
      <w:tr w:rsidR="0006730F" w14:paraId="3BF0A9EA" w14:textId="77777777" w:rsidTr="004358D1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D8692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066A1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3009/NQ-HDQT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E154A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30,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52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399D1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Evaluate the production and business results in the first 9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months of the year and the plan for the last 3 months of the year</w:t>
            </w:r>
          </w:p>
        </w:tc>
      </w:tr>
      <w:tr w:rsidR="0006730F" w14:paraId="3030A3FF" w14:textId="77777777" w:rsidTr="004358D1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33852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4721C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1612/NQ-HDQT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A9196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16, 2023</w:t>
            </w:r>
          </w:p>
        </w:tc>
        <w:tc>
          <w:tcPr>
            <w:tcW w:w="52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FF32B" w14:textId="479D2136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of buying shares from </w:t>
            </w:r>
            <w:r w:rsidR="004358D1">
              <w:rPr>
                <w:rFonts w:ascii="Arial" w:hAnsi="Arial"/>
                <w:color w:val="010000"/>
                <w:sz w:val="20"/>
              </w:rPr>
              <w:t>outstanding shareholders</w:t>
            </w:r>
            <w:r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Lam Dat Joint Stock Company.</w:t>
            </w:r>
          </w:p>
        </w:tc>
      </w:tr>
      <w:tr w:rsidR="0006730F" w14:paraId="558F5C6E" w14:textId="77777777" w:rsidTr="004358D1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02C47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F73E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2912/NQ-HDQT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F9759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52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E3761" w14:textId="67F9B326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results of share purchases by </w:t>
            </w:r>
            <w:r w:rsidR="004358D1">
              <w:rPr>
                <w:rFonts w:ascii="Arial" w:hAnsi="Arial"/>
                <w:color w:val="010000"/>
                <w:sz w:val="20"/>
              </w:rPr>
              <w:t>outstanding shareholders</w:t>
            </w:r>
            <w:r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Lam Dat Joint Stock Company.</w:t>
            </w:r>
          </w:p>
        </w:tc>
      </w:tr>
    </w:tbl>
    <w:p w14:paraId="77D9B9C8" w14:textId="3439C96C" w:rsidR="0006730F" w:rsidRDefault="00BA229C" w:rsidP="00047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Report 2023):</w:t>
      </w:r>
    </w:p>
    <w:p w14:paraId="76B914FB" w14:textId="77777777" w:rsidR="0006730F" w:rsidRDefault="00BA229C" w:rsidP="000474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2216"/>
        <w:gridCol w:w="2286"/>
        <w:gridCol w:w="1733"/>
        <w:gridCol w:w="2125"/>
      </w:tblGrid>
      <w:tr w:rsidR="0006730F" w14:paraId="0C9529BB" w14:textId="77777777" w:rsidTr="004358D1">
        <w:tc>
          <w:tcPr>
            <w:tcW w:w="6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6CD9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A86D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44758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1AEE5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F5C4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06730F" w14:paraId="3FEF4FD0" w14:textId="77777777" w:rsidTr="004358D1">
        <w:tc>
          <w:tcPr>
            <w:tcW w:w="6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E951E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B83D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Bich Yen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E27E0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C8282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2022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78FAA" w14:textId="429DE277" w:rsidR="0006730F" w:rsidRDefault="004358D1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BA229C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06730F" w14:paraId="10084FEE" w14:textId="77777777" w:rsidTr="004358D1">
        <w:tc>
          <w:tcPr>
            <w:tcW w:w="6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5BD58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DD08E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Le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Xuyen</w:t>
            </w:r>
            <w:proofErr w:type="spellEnd"/>
          </w:p>
        </w:tc>
        <w:tc>
          <w:tcPr>
            <w:tcW w:w="2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6AD87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Supervisor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BFAF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2022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8D24A" w14:textId="7C0E8218" w:rsidR="0006730F" w:rsidRDefault="004358D1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BA229C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06730F" w14:paraId="6A648005" w14:textId="77777777" w:rsidTr="004358D1">
        <w:tc>
          <w:tcPr>
            <w:tcW w:w="6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F1848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34C2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Thanh Hang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E9299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Supervisor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AC428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2022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424CC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 of Business Administration</w:t>
            </w:r>
          </w:p>
        </w:tc>
      </w:tr>
    </w:tbl>
    <w:p w14:paraId="2C903ED2" w14:textId="4305A44E" w:rsidR="0006730F" w:rsidRDefault="00BA229C" w:rsidP="00047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1"/>
        <w:gridCol w:w="2547"/>
        <w:gridCol w:w="1627"/>
        <w:gridCol w:w="1814"/>
        <w:gridCol w:w="2260"/>
      </w:tblGrid>
      <w:tr w:rsidR="0006730F" w14:paraId="473A5643" w14:textId="77777777" w:rsidTr="004358D1">
        <w:tc>
          <w:tcPr>
            <w:tcW w:w="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6D38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EE38C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C6074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D1FE1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CB721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Executive Board</w:t>
            </w:r>
          </w:p>
        </w:tc>
      </w:tr>
      <w:tr w:rsidR="0006730F" w14:paraId="44594B10" w14:textId="77777777" w:rsidTr="004358D1">
        <w:tc>
          <w:tcPr>
            <w:tcW w:w="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C2A0C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5E2C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Bao</w:t>
            </w:r>
            <w:proofErr w:type="spellEnd"/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AC783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1965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4BBC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Mining Engineer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52500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2022</w:t>
            </w:r>
          </w:p>
        </w:tc>
      </w:tr>
      <w:tr w:rsidR="0006730F" w14:paraId="0C4B47B5" w14:textId="77777777" w:rsidTr="004358D1">
        <w:tc>
          <w:tcPr>
            <w:tcW w:w="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18B64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D485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Dao Ngoc Thao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D9A69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18, 1973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96F55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Mining Engineer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0EAC5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02, 2021</w:t>
            </w:r>
          </w:p>
        </w:tc>
      </w:tr>
      <w:tr w:rsidR="0006730F" w14:paraId="308E966D" w14:textId="77777777" w:rsidTr="004358D1">
        <w:tc>
          <w:tcPr>
            <w:tcW w:w="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AB0D0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DEF09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Viet Phuong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7ED15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27, 1978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F1D0A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Mining Engineer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9DD61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02, 2022</w:t>
            </w:r>
          </w:p>
        </w:tc>
      </w:tr>
      <w:tr w:rsidR="0006730F" w14:paraId="39892990" w14:textId="77777777" w:rsidTr="004358D1">
        <w:tc>
          <w:tcPr>
            <w:tcW w:w="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D924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2E22E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BAD64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1982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7B563" w14:textId="018D206A" w:rsidR="0006730F" w:rsidRDefault="004358D1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BA229C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66B8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06, 2010</w:t>
            </w:r>
          </w:p>
        </w:tc>
      </w:tr>
    </w:tbl>
    <w:p w14:paraId="5E0C4045" w14:textId="73ED1D72" w:rsidR="0006730F" w:rsidRDefault="00BA229C" w:rsidP="00047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800"/>
        <w:gridCol w:w="1694"/>
        <w:gridCol w:w="3460"/>
      </w:tblGrid>
      <w:tr w:rsidR="0006730F" w14:paraId="22ADB7C4" w14:textId="77777777" w:rsidTr="004358D1">
        <w:tc>
          <w:tcPr>
            <w:tcW w:w="20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A716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E650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76043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4E18C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06730F" w14:paraId="7752E480" w14:textId="77777777" w:rsidTr="004358D1">
        <w:tc>
          <w:tcPr>
            <w:tcW w:w="20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F9013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Duan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719B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25, 1981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37D25" w14:textId="347B4CCE" w:rsidR="0006730F" w:rsidRDefault="004358D1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BA229C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4B63A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June 15, 2022</w:t>
            </w:r>
          </w:p>
          <w:p w14:paraId="77CFBB57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on January 03, 2024</w:t>
            </w:r>
          </w:p>
        </w:tc>
      </w:tr>
      <w:tr w:rsidR="0006730F" w14:paraId="4EA1CD33" w14:textId="77777777" w:rsidTr="004358D1">
        <w:tc>
          <w:tcPr>
            <w:tcW w:w="20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4F1E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Van Cuong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1A21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12,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1979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4C890" w14:textId="66CA87F3" w:rsidR="0006730F" w:rsidRDefault="004358D1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Bachelor in</w:t>
            </w:r>
            <w:r w:rsidR="00BA229C">
              <w:rPr>
                <w:rFonts w:ascii="Arial" w:hAnsi="Arial"/>
                <w:color w:val="010000"/>
                <w:sz w:val="20"/>
              </w:rPr>
              <w:t xml:space="preserve"> </w:t>
            </w:r>
            <w:r w:rsidR="00BA229C">
              <w:rPr>
                <w:rFonts w:ascii="Arial" w:hAnsi="Arial"/>
                <w:color w:val="010000"/>
                <w:sz w:val="20"/>
              </w:rPr>
              <w:lastRenderedPageBreak/>
              <w:t>Accounting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F2596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Appointed on January 03, 2024</w:t>
            </w:r>
          </w:p>
        </w:tc>
      </w:tr>
    </w:tbl>
    <w:p w14:paraId="3049F1F9" w14:textId="77777777" w:rsidR="0006730F" w:rsidRDefault="00BA229C" w:rsidP="00435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Training on corporate governance</w:t>
      </w:r>
    </w:p>
    <w:p w14:paraId="1FD4AC22" w14:textId="7B489A5E" w:rsidR="0006730F" w:rsidRDefault="00BA229C" w:rsidP="00435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4358D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 2023) and transactions between the </w:t>
      </w:r>
      <w:r w:rsidR="004358D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3CDC638D" w14:textId="09F4965C" w:rsidR="0006730F" w:rsidRDefault="00BA229C" w:rsidP="004358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4358D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</w:t>
      </w:r>
      <w:r w:rsidR="00C25A09">
        <w:rPr>
          <w:rFonts w:ascii="Arial" w:hAnsi="Arial"/>
          <w:color w:val="010000"/>
          <w:sz w:val="20"/>
        </w:rPr>
        <w:t>or between the Company and principal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shareholders, PDMR and </w:t>
      </w:r>
      <w:r w:rsidR="004358D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None</w:t>
      </w:r>
    </w:p>
    <w:p w14:paraId="6DE3F1D6" w14:textId="4CA8EE2B" w:rsidR="0006730F" w:rsidRDefault="00BA229C" w:rsidP="004358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Company, </w:t>
      </w:r>
      <w:r w:rsidR="004358D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</w:t>
      </w:r>
    </w:p>
    <w:p w14:paraId="5CC181DF" w14:textId="77777777" w:rsidR="0006730F" w:rsidRDefault="00BA229C" w:rsidP="004358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06A02DD8" w14:textId="27F6B5DE" w:rsidR="0006730F" w:rsidRDefault="00BA229C" w:rsidP="004358D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where members of the Board of Directors, membe</w:t>
      </w:r>
      <w:r w:rsidR="004358D1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(the </w:t>
      </w:r>
      <w:r w:rsidR="00CB3D4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</w:t>
      </w:r>
      <w:r w:rsidR="004358D1">
        <w:rPr>
          <w:rFonts w:ascii="Arial" w:hAnsi="Arial"/>
          <w:color w:val="010000"/>
          <w:sz w:val="20"/>
        </w:rPr>
        <w:t xml:space="preserve">bers of the Board of Directors or </w:t>
      </w:r>
      <w:r>
        <w:rPr>
          <w:rFonts w:ascii="Arial" w:hAnsi="Arial"/>
          <w:color w:val="010000"/>
          <w:sz w:val="20"/>
        </w:rPr>
        <w:t xml:space="preserve">Executive Manager (the </w:t>
      </w:r>
      <w:r w:rsidR="00CB3D4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for the pa</w:t>
      </w:r>
      <w:r w:rsidR="004358D1">
        <w:rPr>
          <w:rFonts w:ascii="Arial" w:hAnsi="Arial"/>
          <w:color w:val="010000"/>
          <w:sz w:val="20"/>
        </w:rPr>
        <w:t>st three (03) years (as at the date</w:t>
      </w:r>
      <w:r>
        <w:rPr>
          <w:rFonts w:ascii="Arial" w:hAnsi="Arial"/>
          <w:color w:val="010000"/>
          <w:sz w:val="20"/>
        </w:rPr>
        <w:t xml:space="preserve"> of reporting).</w:t>
      </w:r>
    </w:p>
    <w:tbl>
      <w:tblPr>
        <w:tblStyle w:val="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7"/>
        <w:gridCol w:w="1399"/>
        <w:gridCol w:w="1600"/>
        <w:gridCol w:w="1591"/>
        <w:gridCol w:w="1726"/>
        <w:gridCol w:w="1416"/>
      </w:tblGrid>
      <w:tr w:rsidR="0006730F" w14:paraId="10514DFD" w14:textId="77777777">
        <w:tc>
          <w:tcPr>
            <w:tcW w:w="12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B652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5418C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Position/Relations with the Company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0554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2021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542B7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D34D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18F40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06730F" w14:paraId="09F037FB" w14:textId="77777777">
        <w:tc>
          <w:tcPr>
            <w:tcW w:w="128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99E2E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Lam Dat Joint Stock Company</w:t>
            </w:r>
          </w:p>
        </w:tc>
        <w:tc>
          <w:tcPr>
            <w:tcW w:w="139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61830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Share the same Chair of Board of Directors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ABC3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2,273,225,098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4189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2,255,551,210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168E6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16,185,368,133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210E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services</w:t>
            </w:r>
          </w:p>
        </w:tc>
      </w:tr>
      <w:tr w:rsidR="0006730F" w14:paraId="7E77FE15" w14:textId="77777777">
        <w:tc>
          <w:tcPr>
            <w:tcW w:w="128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05087" w14:textId="77777777" w:rsidR="0006730F" w:rsidRDefault="0006730F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E3BAA" w14:textId="77777777" w:rsidR="0006730F" w:rsidRDefault="0006730F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39C76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61B16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60,000,000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9C1A9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7,407,253,293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73062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</w:tr>
      <w:tr w:rsidR="0006730F" w14:paraId="16DA7E73" w14:textId="77777777">
        <w:tc>
          <w:tcPr>
            <w:tcW w:w="128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B792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cổ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phần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học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sản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xuất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mỏ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Bắc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tentatively translated as Bac Giang Mining Science and Production Joint Stock Company)</w:t>
            </w:r>
          </w:p>
        </w:tc>
        <w:tc>
          <w:tcPr>
            <w:tcW w:w="139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4451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Share the same Chair of the Board of Directors until December 2022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BF886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6,147,713,000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9ECBF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840,000,000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C1A7A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091E9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</w:tr>
      <w:tr w:rsidR="0006730F" w14:paraId="76789C6C" w14:textId="77777777">
        <w:tc>
          <w:tcPr>
            <w:tcW w:w="128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1BD58" w14:textId="77777777" w:rsidR="0006730F" w:rsidRDefault="0006730F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9C252" w14:textId="77777777" w:rsidR="0006730F" w:rsidRDefault="0006730F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0861B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7,525,192,408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563C5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9,351,129,000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14B9D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EB813" w14:textId="77777777" w:rsidR="0006730F" w:rsidRDefault="00BA229C" w:rsidP="0004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services</w:t>
            </w:r>
          </w:p>
        </w:tc>
      </w:tr>
    </w:tbl>
    <w:p w14:paraId="0C15CE2E" w14:textId="03358CC5" w:rsidR="0006730F" w:rsidRDefault="00BA229C" w:rsidP="004358D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where </w:t>
      </w:r>
      <w:r w:rsidR="004358D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</w:t>
      </w:r>
      <w:r w:rsidR="007D6086">
        <w:rPr>
          <w:rFonts w:ascii="Arial" w:hAnsi="Arial"/>
          <w:color w:val="010000"/>
          <w:sz w:val="20"/>
        </w:rPr>
        <w:t>s of the Supervisory Board, Executive Manager (</w:t>
      </w:r>
      <w:r w:rsidR="00CB3D4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7D6086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 xml:space="preserve">are members of the Board of Directors, the Executive Manager (the </w:t>
      </w:r>
      <w:r w:rsidR="00CB3D40">
        <w:rPr>
          <w:rFonts w:ascii="Arial" w:hAnsi="Arial"/>
          <w:color w:val="010000"/>
          <w:sz w:val="20"/>
        </w:rPr>
        <w:t xml:space="preserve">Managing </w:t>
      </w:r>
      <w:r w:rsidR="00CB3D40">
        <w:rPr>
          <w:rFonts w:ascii="Arial" w:hAnsi="Arial"/>
          <w:color w:val="010000"/>
          <w:sz w:val="20"/>
        </w:rPr>
        <w:lastRenderedPageBreak/>
        <w:t>Director</w:t>
      </w:r>
      <w:r>
        <w:rPr>
          <w:rFonts w:ascii="Arial" w:hAnsi="Arial"/>
          <w:color w:val="010000"/>
          <w:sz w:val="20"/>
        </w:rPr>
        <w:t>).</w:t>
      </w:r>
    </w:p>
    <w:p w14:paraId="3B936067" w14:textId="77777777" w:rsidR="0006730F" w:rsidRDefault="00BA229C" w:rsidP="004358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Hop </w:t>
      </w:r>
      <w:proofErr w:type="spellStart"/>
      <w:r>
        <w:rPr>
          <w:rFonts w:ascii="Arial" w:hAnsi="Arial"/>
          <w:color w:val="010000"/>
          <w:sz w:val="20"/>
        </w:rPr>
        <w:t>Nhat</w:t>
      </w:r>
      <w:proofErr w:type="spellEnd"/>
      <w:r>
        <w:rPr>
          <w:rFonts w:ascii="Arial" w:hAnsi="Arial"/>
          <w:color w:val="010000"/>
          <w:sz w:val="20"/>
        </w:rPr>
        <w:t xml:space="preserve"> Joint Stock Company sells goods and services to </w:t>
      </w:r>
      <w:proofErr w:type="spellStart"/>
      <w:r>
        <w:rPr>
          <w:rFonts w:ascii="Arial" w:hAnsi="Arial"/>
          <w:color w:val="010000"/>
          <w:sz w:val="20"/>
        </w:rPr>
        <w:t>Công</w:t>
      </w:r>
      <w:proofErr w:type="spellEnd"/>
      <w:r>
        <w:rPr>
          <w:rFonts w:ascii="Arial" w:hAnsi="Arial"/>
          <w:color w:val="010000"/>
          <w:sz w:val="20"/>
        </w:rPr>
        <w:t xml:space="preserve"> ty </w:t>
      </w:r>
      <w:proofErr w:type="spellStart"/>
      <w:r>
        <w:rPr>
          <w:rFonts w:ascii="Arial" w:hAnsi="Arial"/>
          <w:color w:val="010000"/>
          <w:sz w:val="20"/>
        </w:rPr>
        <w:t>cổ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phần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Chế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biến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Sàng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tuyển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Hợp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Nhất</w:t>
      </w:r>
      <w:proofErr w:type="spellEnd"/>
      <w:r>
        <w:rPr>
          <w:rFonts w:ascii="Arial" w:hAnsi="Arial"/>
          <w:color w:val="010000"/>
          <w:sz w:val="20"/>
        </w:rPr>
        <w:t xml:space="preserve"> (tentatively translated as Hop </w:t>
      </w:r>
      <w:proofErr w:type="spellStart"/>
      <w:r>
        <w:rPr>
          <w:rFonts w:ascii="Arial" w:hAnsi="Arial"/>
          <w:color w:val="010000"/>
          <w:sz w:val="20"/>
        </w:rPr>
        <w:t>Nhat</w:t>
      </w:r>
      <w:proofErr w:type="spellEnd"/>
      <w:r>
        <w:rPr>
          <w:rFonts w:ascii="Arial" w:hAnsi="Arial"/>
          <w:color w:val="010000"/>
          <w:sz w:val="20"/>
        </w:rPr>
        <w:t xml:space="preserve"> Processing and Screening Joint Stock Company) with the amount of VND 41,193,258,000. </w:t>
      </w:r>
    </w:p>
    <w:p w14:paraId="1FE610E8" w14:textId="77777777" w:rsidR="0006730F" w:rsidRDefault="00BA229C" w:rsidP="004358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8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Hop </w:t>
      </w:r>
      <w:proofErr w:type="spellStart"/>
      <w:r>
        <w:rPr>
          <w:rFonts w:ascii="Arial" w:hAnsi="Arial"/>
          <w:color w:val="010000"/>
          <w:sz w:val="20"/>
        </w:rPr>
        <w:t>Nhat</w:t>
      </w:r>
      <w:proofErr w:type="spellEnd"/>
      <w:r>
        <w:rPr>
          <w:rFonts w:ascii="Arial" w:hAnsi="Arial"/>
          <w:color w:val="010000"/>
          <w:sz w:val="20"/>
        </w:rPr>
        <w:t xml:space="preserve"> Joint Stock Company purchases goods and services from Hop </w:t>
      </w:r>
      <w:proofErr w:type="spellStart"/>
      <w:r>
        <w:rPr>
          <w:rFonts w:ascii="Arial" w:hAnsi="Arial"/>
          <w:color w:val="010000"/>
          <w:sz w:val="20"/>
        </w:rPr>
        <w:t>Nhat</w:t>
      </w:r>
      <w:proofErr w:type="spellEnd"/>
      <w:r>
        <w:rPr>
          <w:rFonts w:ascii="Arial" w:hAnsi="Arial"/>
          <w:color w:val="010000"/>
          <w:sz w:val="20"/>
        </w:rPr>
        <w:t xml:space="preserve"> Processing and Screening Joint Stock Company with the amount of VND 83,660,159,000. </w:t>
      </w:r>
    </w:p>
    <w:p w14:paraId="582364AE" w14:textId="77777777" w:rsidR="0006730F" w:rsidRDefault="00BA229C" w:rsidP="004358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Relation: The wife of the Chair of the Board of Directors of Hop </w:t>
      </w:r>
      <w:proofErr w:type="spellStart"/>
      <w:r>
        <w:rPr>
          <w:rFonts w:ascii="Arial" w:hAnsi="Arial"/>
          <w:color w:val="010000"/>
          <w:sz w:val="20"/>
        </w:rPr>
        <w:t>Nhat</w:t>
      </w:r>
      <w:proofErr w:type="spellEnd"/>
      <w:r>
        <w:rPr>
          <w:rFonts w:ascii="Arial" w:hAnsi="Arial"/>
          <w:color w:val="010000"/>
          <w:sz w:val="20"/>
        </w:rPr>
        <w:t xml:space="preserve"> Joint Stock Company is a member of the Board of Directors of Hop </w:t>
      </w:r>
      <w:proofErr w:type="spellStart"/>
      <w:r>
        <w:rPr>
          <w:rFonts w:ascii="Arial" w:hAnsi="Arial"/>
          <w:color w:val="010000"/>
          <w:sz w:val="20"/>
        </w:rPr>
        <w:t>Nhat</w:t>
      </w:r>
      <w:proofErr w:type="spellEnd"/>
      <w:r>
        <w:rPr>
          <w:rFonts w:ascii="Arial" w:hAnsi="Arial"/>
          <w:color w:val="010000"/>
          <w:sz w:val="20"/>
        </w:rPr>
        <w:t xml:space="preserve"> Processing and Screening Joint Stock Company</w:t>
      </w:r>
    </w:p>
    <w:p w14:paraId="60DA3D3A" w14:textId="1742B069" w:rsidR="0006730F" w:rsidRDefault="00BA229C" w:rsidP="004358D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7D6086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CB3D4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14:paraId="2F6BC7FE" w14:textId="31C1F62B" w:rsidR="0006730F" w:rsidRDefault="00BA229C" w:rsidP="00435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1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4358D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 2023)</w:t>
      </w:r>
    </w:p>
    <w:p w14:paraId="54E420A8" w14:textId="1BA996DD" w:rsidR="0006730F" w:rsidRDefault="00BA229C" w:rsidP="004358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4358D1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 None.</w:t>
      </w:r>
    </w:p>
    <w:p w14:paraId="4EC5AE83" w14:textId="77777777" w:rsidR="0006730F" w:rsidRDefault="00BA229C" w:rsidP="00435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06730F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EB5"/>
    <w:multiLevelType w:val="multilevel"/>
    <w:tmpl w:val="EC88A39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D13130"/>
    <w:multiLevelType w:val="multilevel"/>
    <w:tmpl w:val="78D26AD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964DC9"/>
    <w:multiLevelType w:val="multilevel"/>
    <w:tmpl w:val="CC124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64041"/>
    <w:multiLevelType w:val="multilevel"/>
    <w:tmpl w:val="7E7CCD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F67181"/>
    <w:multiLevelType w:val="multilevel"/>
    <w:tmpl w:val="46101F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0A5783"/>
    <w:multiLevelType w:val="multilevel"/>
    <w:tmpl w:val="ECA2B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1D5E"/>
    <w:multiLevelType w:val="multilevel"/>
    <w:tmpl w:val="89AE6F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BC31600"/>
    <w:multiLevelType w:val="multilevel"/>
    <w:tmpl w:val="6D9434A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85A11FA"/>
    <w:multiLevelType w:val="multilevel"/>
    <w:tmpl w:val="CB24976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985676"/>
    <w:multiLevelType w:val="multilevel"/>
    <w:tmpl w:val="4BC07C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0F"/>
    <w:rsid w:val="000474CE"/>
    <w:rsid w:val="0006730F"/>
    <w:rsid w:val="0022076F"/>
    <w:rsid w:val="00316D90"/>
    <w:rsid w:val="004358D1"/>
    <w:rsid w:val="007D6086"/>
    <w:rsid w:val="00BA229C"/>
    <w:rsid w:val="00C25A09"/>
    <w:rsid w:val="00C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AAA4"/>
  <w15:docId w15:val="{EACFEA9A-29F8-4570-A564-CE09E25E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18FA9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E7C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E7C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18FA9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E7C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18FA9"/>
      <w:sz w:val="42"/>
      <w:szCs w:val="4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color w:val="E18FA9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686E7C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686E7C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b/>
      <w:bCs/>
      <w:color w:val="E18FA9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46" w:lineRule="auto"/>
      <w:ind w:firstLine="400"/>
    </w:pPr>
    <w:rPr>
      <w:rFonts w:ascii="Times New Roman" w:eastAsia="Times New Roman" w:hAnsi="Times New Roman" w:cs="Times New Roman"/>
      <w:color w:val="686E7C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mallCaps/>
      <w:color w:val="E18FA9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oqRPIpzGaawkBhdnRd9DlKR6w==">CgMxLjAyCGguZ2pkZ3hzOAByITExTVphXzJWTFlCT3RBX1BFQ3JGeFowOTFQSzNudnJ2SA==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2024-02-03T07:18:00Z</dcterms:created>
  <dcterms:modified xsi:type="dcterms:W3CDTF">2024-02-03T07:48:00Z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9befe67be90b6c38a227f3b441be3116d62f8a5beddfecd5953701e923854baf</vt:lpwstr>
  </property>
</Properties>
</file>