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E10D" w14:textId="77777777" w:rsidR="00D313B4" w:rsidRDefault="00445151" w:rsidP="004164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ACM: Annual Corporate Governance Report 2023</w:t>
      </w:r>
    </w:p>
    <w:p w14:paraId="6C83A715" w14:textId="77777777" w:rsidR="00D313B4" w:rsidRDefault="00445151" w:rsidP="0041649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On January 29, 2024, A Cuong Mineral Group JSC announced Report No. 2901/ACM/BCQT on the corporate governance in 2023 as follows:</w:t>
      </w:r>
    </w:p>
    <w:p w14:paraId="11ADB808" w14:textId="77777777" w:rsidR="00D313B4" w:rsidRDefault="00445151" w:rsidP="00416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company: A Cuong Mineral Group JSC</w:t>
      </w:r>
    </w:p>
    <w:p w14:paraId="5079D7DB" w14:textId="77777777" w:rsidR="00D313B4" w:rsidRDefault="00445151" w:rsidP="00416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Head office address: </w:t>
      </w:r>
      <w:proofErr w:type="spellStart"/>
      <w:r>
        <w:rPr>
          <w:rFonts w:ascii="Arial" w:hAnsi="Arial"/>
          <w:sz w:val="20"/>
        </w:rPr>
        <w:t>Goc</w:t>
      </w:r>
      <w:proofErr w:type="spellEnd"/>
      <w:r>
        <w:rPr>
          <w:rFonts w:ascii="Arial" w:hAnsi="Arial"/>
          <w:sz w:val="20"/>
        </w:rPr>
        <w:t xml:space="preserve"> Gao Village, Cam Dan Commune, Son Dong District, Bac Giang Province</w:t>
      </w:r>
    </w:p>
    <w:p w14:paraId="6D5ADB4D" w14:textId="77777777" w:rsidR="00D313B4" w:rsidRDefault="00445151" w:rsidP="00416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"/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Tel: (0240) 2226669         Fax: (0240) 2226669</w:t>
      </w:r>
    </w:p>
    <w:p w14:paraId="519C04A5" w14:textId="77777777" w:rsidR="00D313B4" w:rsidRDefault="00445151" w:rsidP="00416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"/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/>
      <w:bookmarkEnd w:id="0"/>
      <w:r>
        <w:rPr>
          <w:rFonts w:ascii="Arial" w:hAnsi="Arial"/>
          <w:sz w:val="20"/>
        </w:rPr>
        <w:t xml:space="preserve">Charter capital: VND 510,000,000,000 </w:t>
      </w:r>
    </w:p>
    <w:p w14:paraId="696B0887" w14:textId="77777777" w:rsidR="00D313B4" w:rsidRDefault="00445151" w:rsidP="0041649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"/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Securities code: ACM</w:t>
      </w:r>
    </w:p>
    <w:p w14:paraId="4A331409" w14:textId="77777777" w:rsidR="00D313B4" w:rsidRDefault="00445151" w:rsidP="004164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"/>
          <w:tab w:val="left" w:pos="426"/>
          <w:tab w:val="left" w:pos="275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Exchange: </w:t>
      </w:r>
      <w:proofErr w:type="spellStart"/>
      <w:r>
        <w:rPr>
          <w:rFonts w:ascii="Arial" w:hAnsi="Arial"/>
          <w:sz w:val="20"/>
        </w:rPr>
        <w:t>UPCoM</w:t>
      </w:r>
      <w:proofErr w:type="spellEnd"/>
    </w:p>
    <w:p w14:paraId="249473D0" w14:textId="5D9C6315" w:rsidR="00D313B4" w:rsidRDefault="00445151" w:rsidP="004164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"/>
          <w:tab w:val="left" w:pos="42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Corporate governance model: The </w:t>
      </w:r>
      <w:r w:rsidR="00416497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,</w:t>
      </w:r>
      <w:r w:rsidR="00416497">
        <w:rPr>
          <w:rFonts w:ascii="Arial" w:hAnsi="Arial"/>
          <w:sz w:val="20"/>
        </w:rPr>
        <w:t xml:space="preserve"> Board of Directors, Supervisory Board and</w:t>
      </w:r>
      <w:r>
        <w:rPr>
          <w:rFonts w:ascii="Arial" w:hAnsi="Arial"/>
          <w:sz w:val="20"/>
        </w:rPr>
        <w:t xml:space="preserve"> </w:t>
      </w:r>
      <w:r w:rsidR="00416497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>.</w:t>
      </w:r>
    </w:p>
    <w:p w14:paraId="6E2BC488" w14:textId="7D0D7D5D" w:rsidR="00D313B4" w:rsidRDefault="00445151" w:rsidP="00416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Activities of the </w:t>
      </w:r>
      <w:r w:rsidR="00416497">
        <w:rPr>
          <w:rFonts w:ascii="Arial" w:hAnsi="Arial"/>
          <w:sz w:val="20"/>
        </w:rPr>
        <w:t>General Meeting</w:t>
      </w:r>
      <w:r>
        <w:rPr>
          <w:rFonts w:ascii="Arial" w:hAnsi="Arial"/>
          <w:sz w:val="20"/>
        </w:rPr>
        <w:t>:</w:t>
      </w:r>
    </w:p>
    <w:tbl>
      <w:tblPr>
        <w:tblStyle w:val="7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91"/>
        <w:gridCol w:w="1196"/>
        <w:gridCol w:w="5357"/>
      </w:tblGrid>
      <w:tr w:rsidR="00D313B4" w14:paraId="6C60B362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F8AAC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7A64C" w14:textId="45265A9E" w:rsidR="00D313B4" w:rsidRDefault="00416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General Mandate 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3AC32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01B3EF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Contents</w:t>
            </w:r>
          </w:p>
        </w:tc>
      </w:tr>
      <w:tr w:rsidR="00D313B4" w14:paraId="7C5ACA6B" w14:textId="77777777">
        <w:tc>
          <w:tcPr>
            <w:tcW w:w="675" w:type="dxa"/>
            <w:shd w:val="clear" w:color="auto" w:fill="auto"/>
            <w:tcMar>
              <w:top w:w="0" w:type="dxa"/>
              <w:bottom w:w="0" w:type="dxa"/>
            </w:tcMar>
          </w:tcPr>
          <w:p w14:paraId="54CEB57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bottom w:w="0" w:type="dxa"/>
            </w:tcMar>
          </w:tcPr>
          <w:p w14:paraId="191410EA" w14:textId="77777777" w:rsidR="00D313B4" w:rsidRDefault="00D3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D99875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Annual General Mandate 2023 No. 24/2023/NQ-DHDCD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bottom w:w="0" w:type="dxa"/>
            </w:tcMar>
          </w:tcPr>
          <w:p w14:paraId="03BA83DE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May 23, 2023</w:t>
            </w:r>
          </w:p>
        </w:tc>
        <w:tc>
          <w:tcPr>
            <w:tcW w:w="5357" w:type="dxa"/>
            <w:shd w:val="clear" w:color="auto" w:fill="auto"/>
            <w:tcMar>
              <w:top w:w="0" w:type="dxa"/>
              <w:bottom w:w="0" w:type="dxa"/>
            </w:tcMar>
          </w:tcPr>
          <w:p w14:paraId="25619A71" w14:textId="77777777" w:rsidR="00D313B4" w:rsidRDefault="004451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Report on production and business results in 2022 and the production and business plan for 2023.</w:t>
            </w:r>
          </w:p>
          <w:p w14:paraId="2C6E9CC5" w14:textId="77777777" w:rsidR="00D313B4" w:rsidRDefault="004451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Report on activities of the Board of Directors in 2022 and operating plan for 2023.</w:t>
            </w:r>
          </w:p>
          <w:p w14:paraId="2A81027E" w14:textId="77777777" w:rsidR="00D313B4" w:rsidRDefault="004451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Report on activities of the Supervisory Board in 2022 and the operating plan for 2023</w:t>
            </w:r>
          </w:p>
          <w:p w14:paraId="324955D8" w14:textId="77777777" w:rsidR="00D313B4" w:rsidRDefault="004451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on the Audited Financial Statements 2022.</w:t>
            </w:r>
          </w:p>
          <w:p w14:paraId="426F108B" w14:textId="77777777" w:rsidR="00D313B4" w:rsidRDefault="004451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on selection of an independent audit company to audit the Financial Statements 2023.</w:t>
            </w:r>
          </w:p>
          <w:p w14:paraId="39DA6C81" w14:textId="77777777" w:rsidR="00D313B4" w:rsidRDefault="004451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on profit distribution and dividend payment in 2022.</w:t>
            </w:r>
          </w:p>
          <w:p w14:paraId="0B8159B2" w14:textId="25DD233C" w:rsidR="00D313B4" w:rsidRDefault="0044515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Proposal on remuneration of the Board of Directors and the S</w:t>
            </w:r>
            <w:r w:rsidR="00416497">
              <w:rPr>
                <w:rFonts w:ascii="Arial" w:hAnsi="Arial"/>
                <w:sz w:val="20"/>
              </w:rPr>
              <w:t>upervisory Board in 2022 and</w:t>
            </w:r>
            <w:r>
              <w:rPr>
                <w:rFonts w:ascii="Arial" w:hAnsi="Arial"/>
                <w:sz w:val="20"/>
              </w:rPr>
              <w:t xml:space="preserve"> plan for 2023.</w:t>
            </w:r>
          </w:p>
        </w:tc>
      </w:tr>
    </w:tbl>
    <w:p w14:paraId="42145306" w14:textId="77777777" w:rsidR="00D313B4" w:rsidRDefault="00445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Activities of the Board of Directors:</w:t>
      </w:r>
    </w:p>
    <w:p w14:paraId="20C1D33D" w14:textId="77777777" w:rsidR="00D313B4" w:rsidRDefault="004451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Board of Directors:</w:t>
      </w:r>
    </w:p>
    <w:tbl>
      <w:tblPr>
        <w:tblStyle w:val="6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"/>
        <w:gridCol w:w="2370"/>
        <w:gridCol w:w="3180"/>
        <w:gridCol w:w="1485"/>
        <w:gridCol w:w="1382"/>
      </w:tblGrid>
      <w:tr w:rsidR="00D313B4" w14:paraId="37778156" w14:textId="77777777">
        <w:tc>
          <w:tcPr>
            <w:tcW w:w="60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19EA1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37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F6DA9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Board of Directors</w:t>
            </w:r>
          </w:p>
        </w:tc>
        <w:tc>
          <w:tcPr>
            <w:tcW w:w="318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EF12B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2867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6D35D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Date of appointment/dismissal as member/independent member of the Board of </w:t>
            </w:r>
            <w:r>
              <w:rPr>
                <w:rFonts w:ascii="Arial" w:hAnsi="Arial"/>
                <w:sz w:val="20"/>
              </w:rPr>
              <w:lastRenderedPageBreak/>
              <w:t>Directors</w:t>
            </w:r>
          </w:p>
        </w:tc>
      </w:tr>
      <w:tr w:rsidR="00D313B4" w14:paraId="5C382A0E" w14:textId="77777777">
        <w:tc>
          <w:tcPr>
            <w:tcW w:w="60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97EF4" w14:textId="77777777" w:rsidR="00D313B4" w:rsidRDefault="00D3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8581E" w14:textId="77777777" w:rsidR="00D313B4" w:rsidRDefault="00D3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94BF1" w14:textId="77777777" w:rsidR="00D313B4" w:rsidRDefault="00D3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33C9C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9016B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Dismissal date</w:t>
            </w:r>
          </w:p>
        </w:tc>
      </w:tr>
      <w:tr w:rsidR="00D313B4" w14:paraId="10363476" w14:textId="77777777">
        <w:tc>
          <w:tcPr>
            <w:tcW w:w="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24029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4665E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Xuan Thanh</w:t>
            </w:r>
          </w:p>
        </w:tc>
        <w:tc>
          <w:tcPr>
            <w:tcW w:w="3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81F8E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Chair of the Board of Directors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F6AA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16, 2011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B1089" w14:textId="77777777" w:rsidR="00D313B4" w:rsidRDefault="00D313B4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13B4" w14:paraId="26466276" w14:textId="77777777">
        <w:tc>
          <w:tcPr>
            <w:tcW w:w="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73A6F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96435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Pham Thi Thuy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5FB5A" w14:textId="5D19440B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Member of the Board of Directors, </w:t>
            </w:r>
            <w:r w:rsidR="00416497">
              <w:rPr>
                <w:rFonts w:ascii="Arial" w:hAnsi="Arial"/>
                <w:sz w:val="20"/>
              </w:rPr>
              <w:t>Managing Director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88B1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September 16, 2011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2C6C60" w14:textId="77777777" w:rsidR="00D313B4" w:rsidRDefault="00D313B4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13B4" w14:paraId="6AC9943E" w14:textId="77777777">
        <w:tc>
          <w:tcPr>
            <w:tcW w:w="6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C1C8F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3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209608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Mr. Nguyen Van Hien</w:t>
            </w:r>
          </w:p>
        </w:tc>
        <w:tc>
          <w:tcPr>
            <w:tcW w:w="3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882F3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Non-executive member of the Board of Directors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4A083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02, 2015</w:t>
            </w:r>
          </w:p>
        </w:tc>
        <w:tc>
          <w:tcPr>
            <w:tcW w:w="1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E7B36" w14:textId="77777777" w:rsidR="00D313B4" w:rsidRDefault="00D313B4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48EF41" w14:textId="3E3F3F6B" w:rsidR="00D313B4" w:rsidRDefault="004451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Board Resolutions/</w:t>
      </w:r>
      <w:r w:rsidR="00B53994">
        <w:rPr>
          <w:rFonts w:ascii="Arial" w:hAnsi="Arial"/>
          <w:sz w:val="20"/>
        </w:rPr>
        <w:t>Board Decisions</w:t>
      </w:r>
      <w:r>
        <w:rPr>
          <w:rFonts w:ascii="Arial" w:hAnsi="Arial"/>
          <w:sz w:val="20"/>
        </w:rPr>
        <w:t>:</w:t>
      </w:r>
    </w:p>
    <w:tbl>
      <w:tblPr>
        <w:tblStyle w:val="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424"/>
        <w:gridCol w:w="1958"/>
        <w:gridCol w:w="4074"/>
      </w:tblGrid>
      <w:tr w:rsidR="00D313B4" w14:paraId="2D1641DE" w14:textId="77777777" w:rsidTr="0041649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F7DA2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394B5" w14:textId="2F9D7636" w:rsidR="00D313B4" w:rsidRDefault="00445151" w:rsidP="00416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Board Resolution/</w:t>
            </w:r>
            <w:r w:rsidR="00B53994">
              <w:rPr>
                <w:rFonts w:ascii="Arial" w:hAnsi="Arial"/>
                <w:sz w:val="20"/>
              </w:rPr>
              <w:t xml:space="preserve">Board </w:t>
            </w:r>
            <w:r>
              <w:rPr>
                <w:rFonts w:ascii="Arial" w:hAnsi="Arial"/>
                <w:sz w:val="20"/>
              </w:rPr>
              <w:t xml:space="preserve">Decision 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7CA9F6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123C5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Contents</w:t>
            </w:r>
          </w:p>
        </w:tc>
      </w:tr>
      <w:tr w:rsidR="00D313B4" w14:paraId="04438065" w14:textId="77777777" w:rsidTr="0041649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99A85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9B4FD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01/2023/NQ-HDQT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10B21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January 09, 2023</w:t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14B3D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business plan for Q1/2023</w:t>
            </w:r>
          </w:p>
        </w:tc>
      </w:tr>
      <w:tr w:rsidR="00D313B4" w14:paraId="6BE8A787" w14:textId="77777777" w:rsidTr="0041649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A154E5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2A37E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02/2023/NQ-HDQT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6EB7E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April 07, 2023</w:t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52EFF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business plan for Q2/2023</w:t>
            </w:r>
          </w:p>
        </w:tc>
      </w:tr>
      <w:tr w:rsidR="00D313B4" w14:paraId="4CDBABCB" w14:textId="77777777" w:rsidTr="0041649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FDD67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D9FE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03/2023/NQ-HDQT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BE81C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July 03, 2023</w:t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464CC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business plan for Q3/2023</w:t>
            </w:r>
          </w:p>
        </w:tc>
      </w:tr>
      <w:tr w:rsidR="00D313B4" w14:paraId="7C78DD85" w14:textId="77777777" w:rsidTr="00416497">
        <w:tc>
          <w:tcPr>
            <w:tcW w:w="5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A61BD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46515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04/2023/NQ-HDQT</w:t>
            </w:r>
          </w:p>
        </w:tc>
        <w:tc>
          <w:tcPr>
            <w:tcW w:w="19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68CCE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December 25, 2023</w:t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47AD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Approve the business plan for Q4/2023</w:t>
            </w:r>
          </w:p>
        </w:tc>
      </w:tr>
    </w:tbl>
    <w:p w14:paraId="43D73499" w14:textId="3B1F677B" w:rsidR="00D313B4" w:rsidRDefault="00445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411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Supervisory Board</w:t>
      </w:r>
    </w:p>
    <w:p w14:paraId="3209A008" w14:textId="77777777" w:rsidR="00D313B4" w:rsidRDefault="004451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about members of the Supervisory Board:</w:t>
      </w:r>
    </w:p>
    <w:tbl>
      <w:tblPr>
        <w:tblStyle w:val="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578"/>
        <w:gridCol w:w="1346"/>
        <w:gridCol w:w="1759"/>
        <w:gridCol w:w="2765"/>
      </w:tblGrid>
      <w:tr w:rsidR="00D313B4" w14:paraId="74D66E50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3391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0014A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E55E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1D5C9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appointment/dismissal as member of the Supervisory Board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33E36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</w:tr>
      <w:tr w:rsidR="00D313B4" w14:paraId="79B92FD3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2E4F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64214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Nguyen Thi Doan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C1C027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Chief of the Supervisory Board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54533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Appointed on March 02, 2015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C95BC" w14:textId="35560E65" w:rsidR="00D313B4" w:rsidRDefault="00416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445151">
              <w:rPr>
                <w:rFonts w:ascii="Arial" w:hAnsi="Arial"/>
                <w:sz w:val="20"/>
              </w:rPr>
              <w:t xml:space="preserve"> Accounting</w:t>
            </w:r>
          </w:p>
        </w:tc>
      </w:tr>
      <w:tr w:rsidR="00D313B4" w14:paraId="28DE4AA4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CAC76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0F99D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Dinh Ngoc San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4F891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0A852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Appointed on March 02, 2015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61CDE" w14:textId="75198E68" w:rsidR="00D313B4" w:rsidRDefault="00416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445151">
              <w:rPr>
                <w:rFonts w:ascii="Arial" w:hAnsi="Arial"/>
                <w:sz w:val="20"/>
              </w:rPr>
              <w:t xml:space="preserve"> Accounting</w:t>
            </w:r>
          </w:p>
        </w:tc>
      </w:tr>
      <w:tr w:rsidR="00D313B4" w14:paraId="0E74AEF8" w14:textId="77777777">
        <w:tc>
          <w:tcPr>
            <w:tcW w:w="5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22ED2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5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B25CC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Ms. Pham Thi Thu Hoai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55F886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Supervisory Board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2BF85C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Appointed on March 02, 2015</w:t>
            </w:r>
          </w:p>
        </w:tc>
        <w:tc>
          <w:tcPr>
            <w:tcW w:w="27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3A66E" w14:textId="700CDD28" w:rsidR="00D313B4" w:rsidRDefault="00416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445151">
              <w:rPr>
                <w:rFonts w:ascii="Arial" w:hAnsi="Arial"/>
                <w:sz w:val="20"/>
              </w:rPr>
              <w:t xml:space="preserve"> Accounting</w:t>
            </w:r>
          </w:p>
        </w:tc>
      </w:tr>
    </w:tbl>
    <w:p w14:paraId="2D690DE0" w14:textId="352C1B7F" w:rsidR="00D313B4" w:rsidRDefault="00445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Executive Board</w:t>
      </w:r>
    </w:p>
    <w:tbl>
      <w:tblPr>
        <w:tblStyle w:val="3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843"/>
        <w:gridCol w:w="1625"/>
        <w:gridCol w:w="1896"/>
        <w:gridCol w:w="2096"/>
      </w:tblGrid>
      <w:tr w:rsidR="00D313B4" w14:paraId="73AD85E9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6238A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No.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E44D1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Member of the Executive Board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2DE0A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18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D16D9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20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26E47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appointment as member of the Executive Board</w:t>
            </w:r>
          </w:p>
        </w:tc>
      </w:tr>
      <w:tr w:rsidR="00D313B4" w14:paraId="2FAF3308" w14:textId="77777777">
        <w:tc>
          <w:tcPr>
            <w:tcW w:w="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7400B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0BE56" w14:textId="166E9B3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Ms. Pham Thi Thuy </w:t>
            </w:r>
            <w:proofErr w:type="spellStart"/>
            <w:r>
              <w:rPr>
                <w:rFonts w:ascii="Arial" w:hAnsi="Arial"/>
                <w:sz w:val="20"/>
              </w:rPr>
              <w:t>Hanh</w:t>
            </w:r>
            <w:proofErr w:type="spellEnd"/>
            <w:r>
              <w:rPr>
                <w:rFonts w:ascii="Arial" w:hAnsi="Arial"/>
                <w:sz w:val="20"/>
              </w:rPr>
              <w:t xml:space="preserve"> - </w:t>
            </w:r>
            <w:r w:rsidR="00416497">
              <w:rPr>
                <w:rFonts w:ascii="Arial" w:hAnsi="Arial"/>
                <w:sz w:val="20"/>
              </w:rPr>
              <w:t>Managing Director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2C901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October 09, 1973</w:t>
            </w:r>
          </w:p>
        </w:tc>
        <w:tc>
          <w:tcPr>
            <w:tcW w:w="18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5E416" w14:textId="1FB24149" w:rsidR="00D313B4" w:rsidRDefault="00416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445151">
              <w:rPr>
                <w:rFonts w:ascii="Arial" w:hAnsi="Arial"/>
                <w:sz w:val="20"/>
              </w:rPr>
              <w:t xml:space="preserve"> Business Administration</w:t>
            </w:r>
          </w:p>
        </w:tc>
        <w:tc>
          <w:tcPr>
            <w:tcW w:w="209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BE6BA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02, 2015</w:t>
            </w:r>
          </w:p>
        </w:tc>
      </w:tr>
    </w:tbl>
    <w:p w14:paraId="6F457BFE" w14:textId="0ED86038" w:rsidR="00D313B4" w:rsidRDefault="00445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Chief Accountant</w:t>
      </w:r>
    </w:p>
    <w:tbl>
      <w:tblPr>
        <w:tblStyle w:val="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7"/>
        <w:gridCol w:w="1905"/>
        <w:gridCol w:w="2302"/>
        <w:gridCol w:w="1925"/>
      </w:tblGrid>
      <w:tr w:rsidR="00D313B4" w14:paraId="40C377B1" w14:textId="77777777">
        <w:tc>
          <w:tcPr>
            <w:tcW w:w="28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2A10E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Full name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97192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E6E5EE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Qualification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F808C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Appointment date</w:t>
            </w:r>
          </w:p>
        </w:tc>
      </w:tr>
      <w:tr w:rsidR="00D313B4" w14:paraId="551DFDAD" w14:textId="77777777">
        <w:tc>
          <w:tcPr>
            <w:tcW w:w="28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3A362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Mr. Nguyen Van </w:t>
            </w:r>
            <w:proofErr w:type="spellStart"/>
            <w:r>
              <w:rPr>
                <w:rFonts w:ascii="Arial" w:hAnsi="Arial"/>
                <w:sz w:val="20"/>
              </w:rPr>
              <w:t>Quyet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FB786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June 17, 1987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0701D" w14:textId="7517B853" w:rsidR="00D313B4" w:rsidRDefault="00416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Bachelor in</w:t>
            </w:r>
            <w:r w:rsidR="00445151">
              <w:rPr>
                <w:rFonts w:ascii="Arial" w:hAnsi="Arial"/>
                <w:sz w:val="20"/>
              </w:rPr>
              <w:t xml:space="preserve"> Accounting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9D99B" w14:textId="77777777" w:rsidR="00D313B4" w:rsidRDefault="00445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March 03, 2017</w:t>
            </w:r>
          </w:p>
        </w:tc>
      </w:tr>
    </w:tbl>
    <w:p w14:paraId="7A99C50A" w14:textId="77777777" w:rsidR="00D313B4" w:rsidRDefault="00445151" w:rsidP="00416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Training on corporate governance</w:t>
      </w:r>
    </w:p>
    <w:p w14:paraId="7828FFC0" w14:textId="236B5B85" w:rsidR="00D313B4" w:rsidRDefault="00445151" w:rsidP="00416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62"/>
          <w:tab w:val="left" w:pos="89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List of </w:t>
      </w:r>
      <w:r w:rsidR="00416497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public Company and transactions between the </w:t>
      </w:r>
      <w:r w:rsidR="00416497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the Company and the Company itself:</w:t>
      </w:r>
    </w:p>
    <w:p w14:paraId="067753C7" w14:textId="4B2CAD9D" w:rsidR="00D313B4" w:rsidRPr="00445151" w:rsidRDefault="00445151" w:rsidP="00416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62"/>
          <w:tab w:val="left" w:pos="9125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its </w:t>
      </w:r>
      <w:r w:rsidR="00416497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persons, or between the Company and </w:t>
      </w:r>
      <w:r w:rsidR="0080745A">
        <w:rPr>
          <w:rFonts w:ascii="Arial" w:hAnsi="Arial"/>
          <w:sz w:val="20"/>
        </w:rPr>
        <w:t>principal</w:t>
      </w:r>
      <w:bookmarkStart w:id="1" w:name="_GoBack"/>
      <w:bookmarkEnd w:id="1"/>
      <w:r>
        <w:rPr>
          <w:rFonts w:ascii="Arial" w:hAnsi="Arial"/>
          <w:sz w:val="20"/>
        </w:rPr>
        <w:t xml:space="preserve"> shareholders, PDMR, </w:t>
      </w:r>
      <w:r w:rsidR="00416497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PDMR: None.</w:t>
      </w:r>
    </w:p>
    <w:p w14:paraId="2AD59B50" w14:textId="4A362E18" w:rsidR="00D313B4" w:rsidRDefault="00445151" w:rsidP="00416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Company’s PDMR, </w:t>
      </w:r>
      <w:r w:rsidR="00416497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 and subsidiaries or companies controlled by the Company: None.</w:t>
      </w:r>
    </w:p>
    <w:p w14:paraId="5FB4115F" w14:textId="77777777" w:rsidR="00D313B4" w:rsidRDefault="00445151" w:rsidP="00416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other entities: None.</w:t>
      </w:r>
    </w:p>
    <w:p w14:paraId="1A0B4407" w14:textId="28F822BF" w:rsidR="00D313B4" w:rsidRDefault="00445151" w:rsidP="00416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Transactions between the Company and companies where members of the Board of Directors, member</w:t>
      </w:r>
      <w:r w:rsidR="00416497">
        <w:rPr>
          <w:rFonts w:ascii="Arial" w:hAnsi="Arial"/>
          <w:sz w:val="20"/>
        </w:rPr>
        <w:t>s of the Supervisory Board, Managing Director</w:t>
      </w:r>
      <w:r>
        <w:rPr>
          <w:rFonts w:ascii="Arial" w:hAnsi="Arial"/>
          <w:sz w:val="20"/>
        </w:rPr>
        <w:t xml:space="preserve"> and other managers have been founding members or members</w:t>
      </w:r>
      <w:r w:rsidR="00416497">
        <w:rPr>
          <w:rFonts w:ascii="Arial" w:hAnsi="Arial"/>
          <w:sz w:val="20"/>
        </w:rPr>
        <w:t xml:space="preserve"> of the Board of Directors or </w:t>
      </w:r>
      <w:r>
        <w:rPr>
          <w:rFonts w:ascii="Arial" w:hAnsi="Arial"/>
          <w:sz w:val="20"/>
        </w:rPr>
        <w:t xml:space="preserve">Executive </w:t>
      </w:r>
      <w:r w:rsidR="00416497">
        <w:rPr>
          <w:rFonts w:ascii="Arial" w:hAnsi="Arial"/>
          <w:sz w:val="20"/>
        </w:rPr>
        <w:t>Manager</w:t>
      </w:r>
      <w:r>
        <w:rPr>
          <w:rFonts w:ascii="Arial" w:hAnsi="Arial"/>
          <w:sz w:val="20"/>
        </w:rPr>
        <w:t xml:space="preserve"> for the past three (03) years (as at the time of reporting): None.</w:t>
      </w:r>
    </w:p>
    <w:p w14:paraId="3D3D8434" w14:textId="078E5EB8" w:rsidR="00D313B4" w:rsidRDefault="00445151" w:rsidP="00416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Transactions between the Company and companies where </w:t>
      </w:r>
      <w:r w:rsidR="00416497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members of the Board of Directors, member</w:t>
      </w:r>
      <w:r w:rsidR="00416497">
        <w:rPr>
          <w:rFonts w:ascii="Arial" w:hAnsi="Arial"/>
          <w:sz w:val="20"/>
        </w:rPr>
        <w:t>s of the Supervisory Board, Managing Director</w:t>
      </w:r>
      <w:r>
        <w:rPr>
          <w:rFonts w:ascii="Arial" w:hAnsi="Arial"/>
          <w:sz w:val="20"/>
        </w:rPr>
        <w:t xml:space="preserve"> and other managers </w:t>
      </w:r>
      <w:r w:rsidR="00416497">
        <w:rPr>
          <w:rFonts w:ascii="Arial" w:hAnsi="Arial"/>
          <w:sz w:val="20"/>
        </w:rPr>
        <w:t xml:space="preserve">who </w:t>
      </w:r>
      <w:r>
        <w:rPr>
          <w:rFonts w:ascii="Arial" w:hAnsi="Arial"/>
          <w:sz w:val="20"/>
        </w:rPr>
        <w:t>are member</w:t>
      </w:r>
      <w:r w:rsidR="00416497">
        <w:rPr>
          <w:rFonts w:ascii="Arial" w:hAnsi="Arial"/>
          <w:sz w:val="20"/>
        </w:rPr>
        <w:t>s of the Board of Directors or</w:t>
      </w:r>
      <w:r>
        <w:rPr>
          <w:rFonts w:ascii="Arial" w:hAnsi="Arial"/>
          <w:sz w:val="20"/>
        </w:rPr>
        <w:t xml:space="preserve"> Executive </w:t>
      </w:r>
      <w:r w:rsidR="00416497">
        <w:rPr>
          <w:rFonts w:ascii="Arial" w:hAnsi="Arial"/>
          <w:sz w:val="20"/>
        </w:rPr>
        <w:t>Manager</w:t>
      </w:r>
      <w:r>
        <w:rPr>
          <w:rFonts w:ascii="Arial" w:hAnsi="Arial"/>
          <w:sz w:val="20"/>
        </w:rPr>
        <w:t>: None.</w:t>
      </w:r>
    </w:p>
    <w:p w14:paraId="7C05998D" w14:textId="67E27F77" w:rsidR="00D313B4" w:rsidRDefault="00445151" w:rsidP="004164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transactions of the Company (if any) that can bring material or non-material benefits to members of the Board of Directors, membe</w:t>
      </w:r>
      <w:r w:rsidR="00416497">
        <w:rPr>
          <w:rFonts w:ascii="Arial" w:hAnsi="Arial"/>
          <w:sz w:val="20"/>
        </w:rPr>
        <w:t>rs of the Supervisory Board,</w:t>
      </w:r>
      <w:r>
        <w:rPr>
          <w:rFonts w:ascii="Arial" w:hAnsi="Arial"/>
          <w:sz w:val="20"/>
        </w:rPr>
        <w:t xml:space="preserve"> </w:t>
      </w:r>
      <w:r w:rsidR="00416497">
        <w:rPr>
          <w:rFonts w:ascii="Arial" w:hAnsi="Arial"/>
          <w:sz w:val="20"/>
        </w:rPr>
        <w:t>Managing Director</w:t>
      </w:r>
      <w:r>
        <w:rPr>
          <w:rFonts w:ascii="Arial" w:hAnsi="Arial"/>
          <w:sz w:val="20"/>
        </w:rPr>
        <w:t xml:space="preserve"> and other managers: None.</w:t>
      </w:r>
    </w:p>
    <w:p w14:paraId="7DE0AE2E" w14:textId="06F637F2" w:rsidR="00D313B4" w:rsidRDefault="00445151" w:rsidP="00416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Share transactions of PDMR and </w:t>
      </w:r>
      <w:r w:rsidR="00416497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 of PDMR:</w:t>
      </w:r>
    </w:p>
    <w:p w14:paraId="2F871392" w14:textId="08F44710" w:rsidR="00D313B4" w:rsidRDefault="00445151" w:rsidP="004164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Registered trading company’s share transactions of PDMR and </w:t>
      </w:r>
      <w:r w:rsidR="00416497">
        <w:rPr>
          <w:rFonts w:ascii="Arial" w:hAnsi="Arial"/>
          <w:sz w:val="20"/>
        </w:rPr>
        <w:t>related</w:t>
      </w:r>
      <w:r>
        <w:rPr>
          <w:rFonts w:ascii="Arial" w:hAnsi="Arial"/>
          <w:sz w:val="20"/>
        </w:rPr>
        <w:t xml:space="preserve"> persons: Appendix 03 attached.</w:t>
      </w:r>
    </w:p>
    <w:p w14:paraId="18201270" w14:textId="26D45292" w:rsidR="00D313B4" w:rsidRPr="007E63C1" w:rsidRDefault="00445151" w:rsidP="00416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425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Other significant issues: None.</w:t>
      </w:r>
    </w:p>
    <w:sectPr w:rsidR="00D313B4" w:rsidRPr="007E63C1">
      <w:pgSz w:w="11909" w:h="16834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32"/>
    <w:multiLevelType w:val="multilevel"/>
    <w:tmpl w:val="937EF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51B4"/>
    <w:multiLevelType w:val="multilevel"/>
    <w:tmpl w:val="45D2E8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55C3942"/>
    <w:multiLevelType w:val="multilevel"/>
    <w:tmpl w:val="C84A7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5F3"/>
    <w:multiLevelType w:val="multilevel"/>
    <w:tmpl w:val="8BF6F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1C74A8"/>
    <w:multiLevelType w:val="multilevel"/>
    <w:tmpl w:val="28AA8E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B93443"/>
    <w:multiLevelType w:val="multilevel"/>
    <w:tmpl w:val="4D8684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91628E"/>
    <w:multiLevelType w:val="multilevel"/>
    <w:tmpl w:val="8016722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C4678DF"/>
    <w:multiLevelType w:val="multilevel"/>
    <w:tmpl w:val="915622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4"/>
    <w:rsid w:val="00416497"/>
    <w:rsid w:val="00445151"/>
    <w:rsid w:val="007E63C1"/>
    <w:rsid w:val="0080745A"/>
    <w:rsid w:val="00B53994"/>
    <w:rsid w:val="00D313B4"/>
    <w:rsid w:val="00E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E5C5"/>
  <w15:docId w15:val="{E3509D48-7FF7-4EAA-B683-01E8C997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8B0C1B"/>
      <w:sz w:val="15"/>
      <w:szCs w:val="15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58040A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pPr>
      <w:spacing w:line="329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mallCaps/>
      <w:color w:val="8B0C1B"/>
      <w:sz w:val="15"/>
      <w:szCs w:val="15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58040A"/>
      <w:sz w:val="8"/>
      <w:szCs w:val="8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4vE1/j+BfDVuk6CtduWdLMUpbw==">CgMxLjAyCGguZ2pkZ3hzOAByITFaNUlfcERjMHJ6VnpTS3h6RERSdG5hYUtsOGtpUE9GLQ==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2024-02-03T07:34:00Z</dcterms:created>
  <dcterms:modified xsi:type="dcterms:W3CDTF">2024-02-03T07:48:00Z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182a64539f0cfe547ba62375ebc1d813f8d5a30f094458093a9b2ad047e53c5d</vt:lpwstr>
  </property>
</Properties>
</file>