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5BCED" w14:textId="77777777" w:rsidR="00370FF2" w:rsidRDefault="002A55BF" w:rsidP="00007C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0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APL: Annual Corporate Governance Report 2023</w:t>
      </w:r>
    </w:p>
    <w:p w14:paraId="6A6D7975" w14:textId="77777777" w:rsidR="00370FF2" w:rsidRDefault="002A55BF" w:rsidP="00007C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January 29, 2024, VVMI-Mechanical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Pressure Equipment Joint Stock Company announced Report No. 01/BC-HDQT on the corporate governance in 2023 as follows:</w:t>
      </w:r>
    </w:p>
    <w:p w14:paraId="04D9618A" w14:textId="77777777" w:rsidR="00370FF2" w:rsidRDefault="002A55BF" w:rsidP="00007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VVMI-Mechanical </w:t>
      </w:r>
      <w:proofErr w:type="gramStart"/>
      <w:r>
        <w:rPr>
          <w:rFonts w:ascii="Arial" w:hAnsi="Arial"/>
          <w:color w:val="010000"/>
          <w:sz w:val="20"/>
        </w:rPr>
        <w:t>And</w:t>
      </w:r>
      <w:proofErr w:type="gramEnd"/>
      <w:r>
        <w:rPr>
          <w:rFonts w:ascii="Arial" w:hAnsi="Arial"/>
          <w:color w:val="010000"/>
          <w:sz w:val="20"/>
        </w:rPr>
        <w:t xml:space="preserve"> Pressure Equipment Joint Stock Company</w:t>
      </w:r>
    </w:p>
    <w:p w14:paraId="227F8B0E" w14:textId="77777777" w:rsidR="00370FF2" w:rsidRDefault="002A55BF" w:rsidP="00007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024 38272726 </w:t>
      </w:r>
      <w:r>
        <w:rPr>
          <w:rFonts w:ascii="Arial" w:hAnsi="Arial"/>
          <w:color w:val="010000"/>
          <w:sz w:val="20"/>
        </w:rPr>
        <w:tab/>
        <w:t>Fax:</w:t>
      </w:r>
    </w:p>
    <w:p w14:paraId="12065A1A" w14:textId="77777777" w:rsidR="00370FF2" w:rsidRDefault="002A55BF" w:rsidP="00007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6">
        <w:r>
          <w:rPr>
            <w:rFonts w:ascii="Arial" w:hAnsi="Arial"/>
            <w:color w:val="010000"/>
            <w:sz w:val="20"/>
          </w:rPr>
          <w:t>chungkhoan.apluco@gmail.com</w:t>
        </w:r>
      </w:hyperlink>
    </w:p>
    <w:p w14:paraId="18BB4BE6" w14:textId="07A8531A" w:rsidR="00370FF2" w:rsidRDefault="002A55BF" w:rsidP="00007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120,000,000,000</w:t>
      </w:r>
    </w:p>
    <w:p w14:paraId="645B6FB9" w14:textId="77777777" w:rsidR="00370FF2" w:rsidRDefault="002A55BF" w:rsidP="00007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APL</w:t>
      </w:r>
    </w:p>
    <w:p w14:paraId="22D9FCC0" w14:textId="77777777" w:rsidR="00370FF2" w:rsidRDefault="002A55BF" w:rsidP="00007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Corporate governance model:</w:t>
      </w:r>
    </w:p>
    <w:p w14:paraId="1FC224D9" w14:textId="5704CCCB" w:rsidR="00370FF2" w:rsidRDefault="002A55BF" w:rsidP="00007C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The </w:t>
      </w:r>
      <w:r w:rsidR="00007C7D">
        <w:rPr>
          <w:rFonts w:ascii="Arial" w:hAnsi="Arial"/>
          <w:color w:val="010000"/>
          <w:sz w:val="20"/>
        </w:rPr>
        <w:t xml:space="preserve">General Meeting, Board of Directors, </w:t>
      </w:r>
      <w:r>
        <w:rPr>
          <w:rFonts w:ascii="Arial" w:hAnsi="Arial"/>
          <w:color w:val="010000"/>
          <w:sz w:val="20"/>
        </w:rPr>
        <w:t xml:space="preserve">Supervisory Board, and </w:t>
      </w:r>
      <w:r w:rsidR="00007C7D">
        <w:rPr>
          <w:rFonts w:ascii="Arial" w:hAnsi="Arial"/>
          <w:color w:val="010000"/>
          <w:sz w:val="20"/>
        </w:rPr>
        <w:t>Executive Board</w:t>
      </w:r>
      <w:r>
        <w:rPr>
          <w:rFonts w:ascii="Arial" w:hAnsi="Arial"/>
          <w:color w:val="010000"/>
          <w:sz w:val="20"/>
        </w:rPr>
        <w:t>.</w:t>
      </w:r>
    </w:p>
    <w:p w14:paraId="760C5D2A" w14:textId="77777777" w:rsidR="00370FF2" w:rsidRDefault="002A55BF" w:rsidP="00007C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Implemented.</w:t>
      </w:r>
    </w:p>
    <w:p w14:paraId="535F0746" w14:textId="7218BB0A" w:rsidR="00370FF2" w:rsidRDefault="002A55BF" w:rsidP="00007C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2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007C7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.</w:t>
      </w:r>
    </w:p>
    <w:p w14:paraId="7FA6DB5F" w14:textId="57CD3C5C" w:rsidR="00370FF2" w:rsidRDefault="002A55BF" w:rsidP="00007C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007C7D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</w:t>
      </w:r>
      <w:r w:rsidR="00007C7D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7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1957"/>
        <w:gridCol w:w="1554"/>
        <w:gridCol w:w="4883"/>
      </w:tblGrid>
      <w:tr w:rsidR="00370FF2" w14:paraId="6AC4AFE5" w14:textId="77777777" w:rsidTr="00007C7D">
        <w:tc>
          <w:tcPr>
            <w:tcW w:w="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3ACEA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61842" w14:textId="6E316149" w:rsidR="00370FF2" w:rsidRDefault="002A55BF" w:rsidP="0000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of the </w:t>
            </w:r>
            <w:r w:rsidR="00007C7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D7C09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7C39DD" w14:textId="776E20AE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007C7D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370FF2" w14:paraId="6A67B75E" w14:textId="77777777" w:rsidTr="00007C7D">
        <w:tc>
          <w:tcPr>
            <w:tcW w:w="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CD18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1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1E6908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29/NQ-DHDCD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01499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3105F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  <w:tr w:rsidR="00370FF2" w14:paraId="456C6FFD" w14:textId="77777777" w:rsidTr="00007C7D">
        <w:tc>
          <w:tcPr>
            <w:tcW w:w="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28D75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1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298218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30/BB-DHDCD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09C3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2617D0" w14:textId="3D83C7AC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Minutes of the Annual </w:t>
            </w:r>
            <w:r w:rsidR="00007C7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370FF2" w14:paraId="1CC2E00D" w14:textId="77777777" w:rsidTr="00007C7D">
        <w:tc>
          <w:tcPr>
            <w:tcW w:w="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1064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1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A31DF" w14:textId="3945EF19" w:rsidR="00370FF2" w:rsidRDefault="0000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31/QD-</w:t>
            </w:r>
            <w:r w:rsidR="002A55BF">
              <w:rPr>
                <w:rFonts w:ascii="Arial" w:hAnsi="Arial"/>
                <w:color w:val="010000"/>
                <w:sz w:val="20"/>
              </w:rPr>
              <w:t>HDQT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829D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9807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assigning the official production and business plan 2023</w:t>
            </w:r>
          </w:p>
        </w:tc>
      </w:tr>
      <w:tr w:rsidR="00370FF2" w14:paraId="15BA7B93" w14:textId="77777777" w:rsidTr="00007C7D">
        <w:tc>
          <w:tcPr>
            <w:tcW w:w="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A25BD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1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6CDC1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32/QD-HDQT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035F6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2F7D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06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the construction investment plan 2023</w:t>
            </w:r>
          </w:p>
        </w:tc>
      </w:tr>
      <w:tr w:rsidR="00370FF2" w14:paraId="4D1A6C05" w14:textId="77777777" w:rsidTr="00007C7D">
        <w:tc>
          <w:tcPr>
            <w:tcW w:w="6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37E1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19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9CB7F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33/QD-HDQT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07A0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5ABBE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approving financial settlement and profit distribution in 2022</w:t>
            </w:r>
          </w:p>
        </w:tc>
      </w:tr>
      <w:tr w:rsidR="00370FF2" w14:paraId="1C8347E7" w14:textId="77777777" w:rsidTr="00007C7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AEC70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6D8ED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34/QD-HDQT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CAD1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99058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dividend payment in 2022</w:t>
            </w:r>
          </w:p>
        </w:tc>
      </w:tr>
      <w:tr w:rsidR="00370FF2" w14:paraId="17B07AC9" w14:textId="77777777" w:rsidTr="00007C7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A2AC7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F80788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35/QD-HDQT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5D455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05, 2023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EF983F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remuneration for the Board of Directors and the Supervisory Board in 2023</w:t>
            </w:r>
          </w:p>
        </w:tc>
      </w:tr>
      <w:tr w:rsidR="00370FF2" w14:paraId="05D9DF1F" w14:textId="77777777" w:rsidTr="00007C7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6338F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CAA81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63/NQ-DHDCD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75E3BD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12, 2023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EB16F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</w:t>
            </w:r>
          </w:p>
        </w:tc>
      </w:tr>
      <w:tr w:rsidR="00370FF2" w14:paraId="794C9C79" w14:textId="77777777" w:rsidTr="00007C7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15C0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4B2D0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64/BB-DHDCD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8CC4D5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12, 2023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7EF1A" w14:textId="426EEA65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Minutes of the Extraordinary </w:t>
            </w:r>
            <w:r w:rsidR="00007C7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</w:tbl>
    <w:p w14:paraId="0B1BBA9B" w14:textId="0A8AFDE5" w:rsidR="00370FF2" w:rsidRDefault="002A55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of Directors (Annual Report 2023):</w:t>
      </w:r>
    </w:p>
    <w:p w14:paraId="41D28E78" w14:textId="77777777" w:rsidR="00370FF2" w:rsidRDefault="002A55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6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"/>
        <w:gridCol w:w="2619"/>
        <w:gridCol w:w="2792"/>
        <w:gridCol w:w="1649"/>
        <w:gridCol w:w="1486"/>
      </w:tblGrid>
      <w:tr w:rsidR="00370FF2" w14:paraId="34FD17C0" w14:textId="77777777">
        <w:tc>
          <w:tcPr>
            <w:tcW w:w="473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07A58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1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2594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79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72A4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313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D651E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370FF2" w14:paraId="03CBE897" w14:textId="77777777">
        <w:tc>
          <w:tcPr>
            <w:tcW w:w="473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4F125" w14:textId="77777777" w:rsidR="00370FF2" w:rsidRDefault="0037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1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414D3" w14:textId="77777777" w:rsidR="00370FF2" w:rsidRDefault="0037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79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FAA35" w14:textId="77777777" w:rsidR="00370FF2" w:rsidRDefault="0037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19F00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DA47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370FF2" w14:paraId="6F934A32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69D88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6387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Hung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AADD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4B481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21, 2020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6D9900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12, 2023</w:t>
            </w:r>
          </w:p>
        </w:tc>
      </w:tr>
      <w:tr w:rsidR="00370FF2" w14:paraId="5032453C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25F06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540A3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Thac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Tan 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90A8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B55F2E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12, 2023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13531" w14:textId="77777777" w:rsidR="00370FF2" w:rsidRDefault="00370FF2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F2" w14:paraId="61FA9CA9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6DD9F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0F9E6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Thi Minh Ha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FBDEE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610F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21, 2020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62587" w14:textId="77777777" w:rsidR="00370FF2" w:rsidRDefault="00370FF2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F2" w14:paraId="191FEA46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8D975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B441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8FA6A7" w14:textId="19DAB72B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- </w:t>
            </w:r>
            <w:r w:rsidR="00007C7D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94A62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21, 2020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752C9" w14:textId="77777777" w:rsidR="00370FF2" w:rsidRDefault="00370FF2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F2" w14:paraId="627AF140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6B3F91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28A19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Cong Loc</w:t>
            </w:r>
          </w:p>
        </w:tc>
        <w:tc>
          <w:tcPr>
            <w:tcW w:w="2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8B4A0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64C4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21, 2020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8CD5A" w14:textId="77777777" w:rsidR="00370FF2" w:rsidRDefault="00370FF2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70FF2" w14:paraId="337DA50A" w14:textId="77777777">
        <w:tc>
          <w:tcPr>
            <w:tcW w:w="47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861252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9A71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Toan</w:t>
            </w:r>
            <w:proofErr w:type="spellEnd"/>
          </w:p>
        </w:tc>
        <w:tc>
          <w:tcPr>
            <w:tcW w:w="27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CB669" w14:textId="1A31CFE8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the Board of Directors - Deputy </w:t>
            </w:r>
            <w:r w:rsidR="00007C7D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EC0C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21, 2020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7261A" w14:textId="77777777" w:rsidR="00370FF2" w:rsidRDefault="00370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6313231" w14:textId="77777777" w:rsidR="00370FF2" w:rsidRDefault="002A55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 in 2023:</w:t>
      </w:r>
    </w:p>
    <w:tbl>
      <w:tblPr>
        <w:tblStyle w:val="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1548"/>
        <w:gridCol w:w="1270"/>
        <w:gridCol w:w="5604"/>
      </w:tblGrid>
      <w:tr w:rsidR="00370FF2" w14:paraId="3818B5BE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F7F88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C5673" w14:textId="0BBAD0F6" w:rsidR="00370FF2" w:rsidRDefault="0000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D760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50AB6" w14:textId="18EF1768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007C7D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370FF2" w14:paraId="6B23B6F1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11AC2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C4B0E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85C57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16,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B19A5" w14:textId="3D2F7D38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production and business results in 2022, temporally assignment of the production and business plan 2023, temporally assignment of the production and business plan for Q1/2023; Approve the labor recruitment plan 2023; Approve the plan on organizing the </w:t>
            </w:r>
            <w:r w:rsidR="00007C7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370FF2" w14:paraId="340DCBAF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E19E2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3E752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DDDB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09,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5EFC9D" w14:textId="72446DC4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Reports and Proposals to submit to the </w:t>
            </w:r>
            <w:r w:rsidR="00007C7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2023; Approve Audited Financial Statements; Approve the re-appointment of personnel...</w:t>
            </w:r>
          </w:p>
        </w:tc>
      </w:tr>
      <w:tr w:rsidR="00370FF2" w14:paraId="19C27FE4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BB858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EBB6B0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39/NQ-HDQT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C4E4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09,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49F5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results of Q1 and the implementation of tasks in Q2/2023; Use welfare and reward funds; Deliver salary unit price in 2023; Pay allowances for the Secretariat of the Board of Directors</w:t>
            </w:r>
          </w:p>
        </w:tc>
      </w:tr>
      <w:tr w:rsidR="00370FF2" w14:paraId="3D36257B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0FDD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7A4F6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41/NQ-HDQT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0222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09,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AC8C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capital borrowing for production and business in 2023-2024 at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Vietinbank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East Hanoi Branch</w:t>
            </w:r>
          </w:p>
        </w:tc>
      </w:tr>
      <w:tr w:rsidR="00370FF2" w14:paraId="3556E072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8C4C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147F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2230B0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09,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289A2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capital borrowing for production and business in 2023-2024 at MB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Kiem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</w:tr>
      <w:tr w:rsidR="00370FF2" w14:paraId="52D44A7E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D5206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09D81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50/NQ-HDQT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5711D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02,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5275E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selection of an audit company for the Financial Statements 2023</w:t>
            </w:r>
          </w:p>
        </w:tc>
      </w:tr>
      <w:tr w:rsidR="00370FF2" w14:paraId="38634748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A9BA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2A512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53/NQ-HDQT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374F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13,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BD266" w14:textId="50551BFB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program of the Extraordinary </w:t>
            </w:r>
            <w:r w:rsidR="00007C7D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370FF2" w14:paraId="45847DB7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25FC9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1788F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66/NQ-HDQT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4AFE49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15,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A0592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position of Chair of the Board of Directors</w:t>
            </w:r>
          </w:p>
        </w:tc>
      </w:tr>
      <w:tr w:rsidR="00370FF2" w14:paraId="50394AFD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D7C0D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E503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68/NQ-HDQT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788A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307A6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personnel planning for periods 2025-2030 and 2020-2025</w:t>
            </w:r>
          </w:p>
        </w:tc>
      </w:tr>
      <w:tr w:rsidR="00370FF2" w14:paraId="247686F7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EA407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76B66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69/NQ-HDQT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FED2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943AF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production and business results of Q3 and 9 months; Implement the Q4 plan: Approve the expected preparation of the production and business plan 2024</w:t>
            </w:r>
          </w:p>
        </w:tc>
      </w:tr>
      <w:tr w:rsidR="00370FF2" w14:paraId="6FEF9824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464E7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FF471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70/NQ-HDQT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17D1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81CA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credit norms in 2023</w:t>
            </w:r>
          </w:p>
        </w:tc>
      </w:tr>
      <w:tr w:rsidR="00370FF2" w14:paraId="19136FEF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C91BE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FF8D1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71/NQ-HDQT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95F1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2B8A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assignment of tasks to the Board of Directors</w:t>
            </w:r>
          </w:p>
        </w:tc>
      </w:tr>
      <w:tr w:rsidR="00370FF2" w14:paraId="0F6C0854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B9E850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1F94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78/NQ-HDQT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5568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08,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4B62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Approval of reward rate in 2023</w:t>
            </w:r>
          </w:p>
        </w:tc>
      </w:tr>
      <w:tr w:rsidR="00370FF2" w14:paraId="40A77D31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8270D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F01D5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5EF4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25,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8E7F5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policy and the plan on re-appointing the personnel</w:t>
            </w:r>
          </w:p>
        </w:tc>
      </w:tr>
      <w:tr w:rsidR="00370FF2" w14:paraId="41A35A2E" w14:textId="77777777" w:rsidTr="00007C7D">
        <w:tc>
          <w:tcPr>
            <w:tcW w:w="5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A9CCF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EB380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83/NQ-HDQT</w:t>
            </w:r>
          </w:p>
        </w:tc>
        <w:tc>
          <w:tcPr>
            <w:tcW w:w="12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90A8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25, 2023</w:t>
            </w:r>
          </w:p>
        </w:tc>
        <w:tc>
          <w:tcPr>
            <w:tcW w:w="56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6568D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Approved the amendment and supplement to debt management regulations</w:t>
            </w:r>
          </w:p>
        </w:tc>
      </w:tr>
    </w:tbl>
    <w:p w14:paraId="32C77353" w14:textId="6BE09AEE" w:rsidR="00370FF2" w:rsidRDefault="002A55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(Annual 2023 Report):</w:t>
      </w:r>
    </w:p>
    <w:p w14:paraId="289FFE1C" w14:textId="77777777" w:rsidR="00370FF2" w:rsidRDefault="002A55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4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2769"/>
        <w:gridCol w:w="1499"/>
        <w:gridCol w:w="1207"/>
        <w:gridCol w:w="2935"/>
      </w:tblGrid>
      <w:tr w:rsidR="00370FF2" w14:paraId="44CBEA21" w14:textId="77777777">
        <w:tc>
          <w:tcPr>
            <w:tcW w:w="6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4528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7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F2DD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F0D76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2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45F15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9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05BB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370FF2" w14:paraId="1B95B002" w14:textId="777777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1BB9E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78F1D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Hong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Nhung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A28E5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 of the Supervisory Board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FBF79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10, 2021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1361C" w14:textId="6B908838" w:rsidR="00370FF2" w:rsidRDefault="0000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A55BF">
              <w:rPr>
                <w:rFonts w:ascii="Arial" w:hAnsi="Arial"/>
                <w:color w:val="010000"/>
                <w:sz w:val="20"/>
              </w:rPr>
              <w:t xml:space="preserve"> Accounting and Finance</w:t>
            </w:r>
          </w:p>
        </w:tc>
      </w:tr>
      <w:tr w:rsidR="00370FF2" w14:paraId="259E1F0C" w14:textId="777777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DFC6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9577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Thi Thuy Nga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3DF5E2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Member of Supervisory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E9DA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April 10, 2021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C3764C" w14:textId="3B54FA10" w:rsidR="00370FF2" w:rsidRDefault="0000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A55BF">
              <w:rPr>
                <w:rFonts w:ascii="Arial" w:hAnsi="Arial"/>
                <w:color w:val="010000"/>
                <w:sz w:val="20"/>
              </w:rPr>
              <w:t xml:space="preserve"> Accounting and Finance</w:t>
            </w:r>
          </w:p>
        </w:tc>
      </w:tr>
      <w:tr w:rsidR="00370FF2" w14:paraId="4B5C150F" w14:textId="77777777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9D63E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03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CDBEC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Phung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Thi Lan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DA694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C5E4D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21, 2020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A6C5E" w14:textId="0C149CAE" w:rsidR="00370FF2" w:rsidRDefault="0000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A55BF">
              <w:rPr>
                <w:rFonts w:ascii="Arial" w:hAnsi="Arial"/>
                <w:color w:val="010000"/>
                <w:sz w:val="20"/>
              </w:rPr>
              <w:t xml:space="preserve"> Accounting and Finance</w:t>
            </w:r>
          </w:p>
        </w:tc>
      </w:tr>
    </w:tbl>
    <w:p w14:paraId="26A0C228" w14:textId="2D31FFF5" w:rsidR="00370FF2" w:rsidRDefault="002A55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</w:t>
      </w:r>
    </w:p>
    <w:tbl>
      <w:tblPr>
        <w:tblStyle w:val="3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280"/>
        <w:gridCol w:w="1557"/>
        <w:gridCol w:w="2527"/>
        <w:gridCol w:w="2083"/>
      </w:tblGrid>
      <w:tr w:rsidR="00370FF2" w14:paraId="67EBFE96" w14:textId="77777777">
        <w:tc>
          <w:tcPr>
            <w:tcW w:w="5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54CF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6E17E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59457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5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88F51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08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5EFBB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370FF2" w14:paraId="6AE90025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92AF89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64FBF4" w14:textId="530B779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r w:rsidR="00007C7D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2289A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10, 1978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850A5" w14:textId="4FC80972" w:rsidR="00370FF2" w:rsidRDefault="0000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A55BF">
              <w:rPr>
                <w:rFonts w:ascii="Arial" w:hAnsi="Arial"/>
                <w:color w:val="010000"/>
                <w:sz w:val="20"/>
              </w:rPr>
              <w:t xml:space="preserve"> Business Administration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01817" w14:textId="727C7D9D" w:rsidR="00370FF2" w:rsidRDefault="002A55BF" w:rsidP="000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01, 2021 (re-appointed)</w:t>
            </w:r>
          </w:p>
        </w:tc>
      </w:tr>
      <w:tr w:rsidR="00370FF2" w14:paraId="4D0A79A9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78AD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56C0A" w14:textId="30D3EA63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Toan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Deputy </w:t>
            </w:r>
            <w:r w:rsidR="00007C7D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E75A1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24, 1968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36B98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Mechanical Engineer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688C9" w14:textId="0E0308B6" w:rsidR="00370FF2" w:rsidRDefault="002A55BF" w:rsidP="000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01, 2020 (re-appointed)</w:t>
            </w:r>
          </w:p>
        </w:tc>
      </w:tr>
      <w:tr w:rsidR="00370FF2" w14:paraId="0D1EF92F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A1EF0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1AF29" w14:textId="6DF798EC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Dinh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Dien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Deputy </w:t>
            </w:r>
            <w:r w:rsidR="00007C7D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986CB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19, 1980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4FDD9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Master of Economics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636BD" w14:textId="29A581A0" w:rsidR="00370FF2" w:rsidRDefault="002A55BF" w:rsidP="000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01, 2022 (newly appointed)</w:t>
            </w:r>
          </w:p>
        </w:tc>
      </w:tr>
    </w:tbl>
    <w:p w14:paraId="784A31C0" w14:textId="3DE4A6F0" w:rsidR="00370FF2" w:rsidRDefault="002A55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2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5"/>
        <w:gridCol w:w="1497"/>
        <w:gridCol w:w="2507"/>
        <w:gridCol w:w="2130"/>
      </w:tblGrid>
      <w:tr w:rsidR="00370FF2" w14:paraId="4BC75502" w14:textId="77777777">
        <w:tc>
          <w:tcPr>
            <w:tcW w:w="28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37CFF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F325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5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FBA03A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EC2E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</w:t>
            </w:r>
          </w:p>
        </w:tc>
      </w:tr>
      <w:tr w:rsidR="00370FF2" w14:paraId="6B01E0EF" w14:textId="77777777">
        <w:tc>
          <w:tcPr>
            <w:tcW w:w="28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4FFB3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Dang Thi Quynh Trang</w:t>
            </w:r>
          </w:p>
        </w:tc>
        <w:tc>
          <w:tcPr>
            <w:tcW w:w="14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244ED" w14:textId="77777777" w:rsidR="00370FF2" w:rsidRDefault="002A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11, 1981</w:t>
            </w:r>
          </w:p>
        </w:tc>
        <w:tc>
          <w:tcPr>
            <w:tcW w:w="25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B1C33" w14:textId="72EA7357" w:rsidR="00370FF2" w:rsidRDefault="00007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2A55BF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327D68" w14:textId="79D78950" w:rsidR="00370FF2" w:rsidRDefault="002A55BF" w:rsidP="000C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2022 (re-appointed)</w:t>
            </w:r>
          </w:p>
        </w:tc>
      </w:tr>
    </w:tbl>
    <w:p w14:paraId="421F2F14" w14:textId="77777777" w:rsidR="00370FF2" w:rsidRDefault="002A55BF" w:rsidP="00007C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VI. Training on corporate governance:</w:t>
      </w:r>
    </w:p>
    <w:p w14:paraId="415DEEA7" w14:textId="1357851D" w:rsidR="00370FF2" w:rsidRDefault="002A55BF" w:rsidP="00007C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007C7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and transactions between </w:t>
      </w:r>
      <w:r w:rsidR="00007C7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</w:t>
      </w:r>
    </w:p>
    <w:p w14:paraId="4B995515" w14:textId="72116BC5" w:rsidR="00370FF2" w:rsidRPr="002A55BF" w:rsidRDefault="002A55BF" w:rsidP="00007C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007C7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007C7D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</w:t>
      </w:r>
      <w:r w:rsidR="00007C7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6071C44D" w14:textId="7B578067" w:rsidR="002A55BF" w:rsidRPr="002A55BF" w:rsidRDefault="002A55BF" w:rsidP="00007C7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55BF">
        <w:rPr>
          <w:rFonts w:ascii="Arial" w:hAnsi="Arial"/>
          <w:color w:val="010000"/>
          <w:sz w:val="20"/>
        </w:rPr>
        <w:t xml:space="preserve">Report on purchase and sales of materials, goods and services to </w:t>
      </w:r>
      <w:r w:rsidR="00007C7D">
        <w:rPr>
          <w:rFonts w:ascii="Arial" w:hAnsi="Arial"/>
          <w:color w:val="010000"/>
          <w:sz w:val="20"/>
        </w:rPr>
        <w:t>related</w:t>
      </w:r>
      <w:r w:rsidRPr="002A55BF">
        <w:rPr>
          <w:rFonts w:ascii="Arial" w:hAnsi="Arial"/>
          <w:color w:val="010000"/>
          <w:sz w:val="20"/>
        </w:rPr>
        <w:t xml:space="preserve"> parties for the fiscal year ending on December 31, 2023 </w:t>
      </w:r>
    </w:p>
    <w:tbl>
      <w:tblPr>
        <w:tblStyle w:val="1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3911"/>
        <w:gridCol w:w="1669"/>
        <w:gridCol w:w="1537"/>
        <w:gridCol w:w="1337"/>
      </w:tblGrid>
      <w:tr w:rsidR="002A55BF" w14:paraId="4929F4E2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4992A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495E9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Customer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7C13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C5650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type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81426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Amount</w:t>
            </w:r>
          </w:p>
        </w:tc>
      </w:tr>
      <w:tr w:rsidR="002A55BF" w14:paraId="19A06C20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45E56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3FA15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DE699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455CC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C4142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</w:t>
            </w:r>
          </w:p>
        </w:tc>
      </w:tr>
      <w:tr w:rsidR="002A55BF" w14:paraId="40941A56" w14:textId="77777777" w:rsidTr="00525CB7">
        <w:tc>
          <w:tcPr>
            <w:tcW w:w="56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0D7B9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391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0B4B7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nhánh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Tổng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nghiệp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mỏ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Việt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Bắc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TKV - CTCP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 Than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Khánh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Hòa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-VVMI (tentatively translated as “Branch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Viet Bac Mining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Industry Holding Corporation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Coal Company”)</w:t>
            </w:r>
          </w:p>
        </w:tc>
        <w:tc>
          <w:tcPr>
            <w:tcW w:w="166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61A886" w14:textId="4DF68789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AE090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D5E3E1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185A034F" w14:textId="77777777" w:rsidTr="00525CB7">
        <w:tc>
          <w:tcPr>
            <w:tcW w:w="56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328CA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1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0952A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7468C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0A3DFA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Service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purchase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886D9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432431BC" w14:textId="77777777" w:rsidTr="00525CB7">
        <w:tc>
          <w:tcPr>
            <w:tcW w:w="56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DA452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391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5C796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VVMI - Tan Quang Cement Joint Stock Company</w:t>
            </w:r>
          </w:p>
        </w:tc>
        <w:tc>
          <w:tcPr>
            <w:tcW w:w="166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6B19E" w14:textId="5E18D4FF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8B200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154EE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0CEA7D2F" w14:textId="77777777" w:rsidTr="00525CB7">
        <w:tc>
          <w:tcPr>
            <w:tcW w:w="56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4DC20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1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DA7DF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DCD3B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74B9E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Service purchase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CB78E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31A8DE7C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12933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65B0C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Viet Bac Mining Industry Holding Corporation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FCD2E" w14:textId="72ACA263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EF0DD1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F1D5EE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7C40AEB5" w14:textId="77777777" w:rsidTr="00525CB7">
        <w:tc>
          <w:tcPr>
            <w:tcW w:w="56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6BF86A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391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5CB47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 than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Núi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Hồng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VVMI - Chi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nhánh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Tổng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nghiệp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mỏ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Việt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Bắc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TKV - CTCP (tentatively translated as “Nui Hong Coal Company - Branch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Viet Bac Mining Industry Holding Corporation”)</w:t>
            </w:r>
          </w:p>
        </w:tc>
        <w:tc>
          <w:tcPr>
            <w:tcW w:w="166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45BA7" w14:textId="6F084B29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6CEEFB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900CF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46EE83D6" w14:textId="77777777" w:rsidTr="00525CB7">
        <w:tc>
          <w:tcPr>
            <w:tcW w:w="56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7B47B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1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B4253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C33E1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F34C0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Service purchase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786E3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23810A27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48C9F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D38E79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Cty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 Na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dương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-VVMI-CN TCT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nghiệp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mỏ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Việt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bắc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TKV-CTCP (tentatively translated as “Na Duong Coal Company - Branch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Viet Bac Mining Industry Holding Corporation”)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0D8235" w14:textId="0A06092D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92BAF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D98EF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06696210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F416D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DC27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nhánh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Tập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đoàn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nghiệp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Khoáng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sản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Việt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Nam-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Tuyển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Cửa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-TKV (tentatively translated as “Branch of Vietnam National Coal and Mineral Industries Group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Cua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Ong Coal Processing Company)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A6790" w14:textId="1790D43E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3BD5B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40ED2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644D36F5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E3B623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CF2AA4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Thong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Nhat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Coal Company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3ABD3" w14:textId="4F3AA8B2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373C0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C6C21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60ED563E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2305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5638D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Duong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Coal Company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91247" w14:textId="346F7A44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F3557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7E14B5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32AC7EFB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27759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9373F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Cham Coal Company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94248" w14:textId="59D4D1DA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08830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F596F1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755FD2EE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903E73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87E66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Quang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Coal Company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5C082" w14:textId="537DE0A3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71091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53869B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585FFF7F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BE081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0B25E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Ha Long Coal Company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D7A395" w14:textId="1D0DAD9D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B400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42F86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1FF09A79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9807A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2C441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Hon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Gai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Coal Company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CFB5E0" w14:textId="54A02BA6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11810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84CE71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30B023CE" w14:textId="77777777" w:rsidTr="00525CB7">
        <w:tc>
          <w:tcPr>
            <w:tcW w:w="5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2CA21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39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13A5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Da Bac Logistics Company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</w:p>
        </w:tc>
        <w:tc>
          <w:tcPr>
            <w:tcW w:w="166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7FA3D" w14:textId="57065C12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7DFD0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1E663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14BE9C2D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A6662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6A18E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Uong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Bi Coal Company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0AA6B" w14:textId="69F1C1B5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67894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C97F6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3323D45F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A1BB9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67CF2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Nam Mau Coal Company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429C1" w14:textId="14F48877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2A2CA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BD268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60C1992F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970C45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E58AE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Mao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Coal Company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CEC18" w14:textId="7448C53B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A34B3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4AB03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23489CFC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E8D17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7B692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Mine Construction Company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3EBC3" w14:textId="2F19A36A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860E5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A0ED9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1C10430D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B36A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C8CF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Vietnam Coal and Mineral College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8D9F0" w14:textId="3CC81C11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DAFD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FBB45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73DEAE57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8FC4D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3E0C1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Mong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Duong Coal Joint Stock Company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720A3B" w14:textId="11A4DFDD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F4329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071E8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378C4865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3305F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39497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Deo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Coal Joint Stock Company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823CC" w14:textId="3B5E34D9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212C4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B6BD64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1749711E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224D6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BDD91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Nuibeo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Coal Joint Stock Company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FC384" w14:textId="2D664158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C6F81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E7C76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5FF6B4F5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8552DA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875EC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Ha Lam Coal Joint Stock Company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60BAF9" w14:textId="6CAED5C4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1ACEF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43BCC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3EFA4BAB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90F85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25261A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Vang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Coal Joint Stock Company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3838B" w14:textId="1430096A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4A4C01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Material and goods sales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529A68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4E72D384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35A854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8763BF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Trung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tâm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điều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dưỡng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ngành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than - VVMI (tentatively translated as “Coal Industry Nursing Center - VVMI”)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A904B" w14:textId="5DCC352D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E7B65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Service purchase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0859D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4E516C79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955FB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D44EA9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vật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tư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hóa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chất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mỏ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Hà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Nội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Chi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nhánh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Tổng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ty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công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nghiệp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hóa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chất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mỏ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(tentatively translated as “Hanoi Mining Chemical Materials Company - Branch of Mining Chemical Industry Corporation 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”)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A6004" w14:textId="51240AF9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26341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Service purchase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67A5E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6793276A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B2F6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66D44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VVMI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Quantrieu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Cement Joint Stock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Company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6AA44B" w14:textId="381B302D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Under the same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D9BDF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Material and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goods purchase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1B6EC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6E315453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C09BE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27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E77A5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VVMI Thai Nguyen Hotel Joint Stock Company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0C290" w14:textId="469F8CBC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5156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Service purchase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323CD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079BAF6A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CE0B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5FAB0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School of Business Administration-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F17EB" w14:textId="3BDD9266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B54E03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Service purchase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7EB968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595AB24B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526CF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EC0F8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10000"/>
                <w:sz w:val="20"/>
              </w:rPr>
              <w:t>Vinacomin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Materials Trading Joint Stock Company - Ha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Noi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Branch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DC7FB" w14:textId="2371D32B" w:rsidR="002A55BF" w:rsidRDefault="003A32CA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Under the same holding company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DB282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Service purchase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62CA0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A55BF" w14:paraId="29E3CA5A" w14:textId="77777777" w:rsidTr="00525CB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6BB9E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8641A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F53320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75239" w14:textId="77777777" w:rsidR="002A55BF" w:rsidRDefault="002A55BF" w:rsidP="00525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A61B9" w14:textId="77777777" w:rsidR="002A55BF" w:rsidRDefault="002A55BF" w:rsidP="00525CB7">
            <w:pPr>
              <w:tabs>
                <w:tab w:val="left" w:pos="426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461ED5B" w14:textId="1C82CB64" w:rsidR="00370FF2" w:rsidRDefault="002A55BF" w:rsidP="003A32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Company’s PDMR, </w:t>
      </w:r>
      <w:r w:rsidR="00007C7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</w:t>
      </w:r>
    </w:p>
    <w:p w14:paraId="4BDB9705" w14:textId="77777777" w:rsidR="00370FF2" w:rsidRDefault="002A55BF" w:rsidP="003A32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423D8849" w14:textId="421616E5" w:rsidR="00370FF2" w:rsidRDefault="002A55BF" w:rsidP="003A32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3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that members of the Board of Directors, members of the Supervisory Board, the </w:t>
      </w:r>
      <w:r w:rsidR="00007C7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</w:t>
      </w:r>
      <w:r w:rsidR="003A32CA">
        <w:rPr>
          <w:rFonts w:ascii="Arial" w:hAnsi="Arial"/>
          <w:color w:val="010000"/>
          <w:sz w:val="20"/>
        </w:rPr>
        <w:t>other managers</w:t>
      </w:r>
      <w:r>
        <w:rPr>
          <w:rFonts w:ascii="Arial" w:hAnsi="Arial"/>
          <w:color w:val="010000"/>
          <w:sz w:val="20"/>
        </w:rPr>
        <w:t xml:space="preserve"> have been founding members or members </w:t>
      </w:r>
      <w:r w:rsidR="003A32CA">
        <w:rPr>
          <w:rFonts w:ascii="Arial" w:hAnsi="Arial"/>
          <w:color w:val="010000"/>
          <w:sz w:val="20"/>
        </w:rPr>
        <w:t>of the Board of Directors or</w:t>
      </w:r>
      <w:r>
        <w:rPr>
          <w:rFonts w:ascii="Arial" w:hAnsi="Arial"/>
          <w:color w:val="010000"/>
          <w:sz w:val="20"/>
        </w:rPr>
        <w:t xml:space="preserve"> Executive </w:t>
      </w:r>
      <w:r w:rsidR="003A32CA">
        <w:rPr>
          <w:rFonts w:ascii="Arial" w:hAnsi="Arial"/>
          <w:color w:val="010000"/>
          <w:sz w:val="20"/>
        </w:rPr>
        <w:t>Manager</w:t>
      </w:r>
      <w:r>
        <w:rPr>
          <w:rFonts w:ascii="Arial" w:hAnsi="Arial"/>
          <w:color w:val="010000"/>
          <w:sz w:val="20"/>
        </w:rPr>
        <w:t xml:space="preserve"> for the past three years (at the </w:t>
      </w:r>
      <w:r w:rsidR="003A32CA">
        <w:rPr>
          <w:rFonts w:ascii="Arial" w:hAnsi="Arial"/>
          <w:color w:val="010000"/>
          <w:sz w:val="20"/>
        </w:rPr>
        <w:t>date of reporting</w:t>
      </w:r>
      <w:r>
        <w:rPr>
          <w:rFonts w:ascii="Arial" w:hAnsi="Arial"/>
          <w:color w:val="010000"/>
          <w:sz w:val="20"/>
        </w:rPr>
        <w:t>): None</w:t>
      </w:r>
    </w:p>
    <w:p w14:paraId="4DA240D2" w14:textId="2D757028" w:rsidR="00370FF2" w:rsidRDefault="002A55BF" w:rsidP="003A32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companies that </w:t>
      </w:r>
      <w:r w:rsidR="00007C7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members of the Board of Directors, the Supervisory Board, the </w:t>
      </w:r>
      <w:r w:rsidR="00007C7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or </w:t>
      </w:r>
      <w:r w:rsidR="003A32CA">
        <w:rPr>
          <w:rFonts w:ascii="Arial" w:hAnsi="Arial"/>
          <w:color w:val="010000"/>
          <w:sz w:val="20"/>
        </w:rPr>
        <w:t>other managers</w:t>
      </w:r>
      <w:r>
        <w:rPr>
          <w:rFonts w:ascii="Arial" w:hAnsi="Arial"/>
          <w:color w:val="010000"/>
          <w:sz w:val="20"/>
        </w:rPr>
        <w:t xml:space="preserve"> </w:t>
      </w:r>
      <w:r w:rsidR="003A32CA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are members o</w:t>
      </w:r>
      <w:r w:rsidR="003A32CA">
        <w:rPr>
          <w:rFonts w:ascii="Arial" w:hAnsi="Arial"/>
          <w:color w:val="010000"/>
          <w:sz w:val="20"/>
        </w:rPr>
        <w:t xml:space="preserve">f the Board of Directors or </w:t>
      </w:r>
      <w:r>
        <w:rPr>
          <w:rFonts w:ascii="Arial" w:hAnsi="Arial"/>
          <w:color w:val="010000"/>
          <w:sz w:val="20"/>
        </w:rPr>
        <w:t xml:space="preserve">Executive </w:t>
      </w:r>
      <w:r w:rsidR="003A32CA">
        <w:rPr>
          <w:rFonts w:ascii="Arial" w:hAnsi="Arial"/>
          <w:color w:val="010000"/>
          <w:sz w:val="20"/>
        </w:rPr>
        <w:t>Manager</w:t>
      </w:r>
      <w:r>
        <w:rPr>
          <w:rFonts w:ascii="Arial" w:hAnsi="Arial"/>
          <w:color w:val="010000"/>
          <w:sz w:val="20"/>
        </w:rPr>
        <w:t>: None</w:t>
      </w:r>
    </w:p>
    <w:p w14:paraId="649D8C22" w14:textId="2E002331" w:rsidR="00370FF2" w:rsidRDefault="002A55BF" w:rsidP="003A32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about material or non-material benefits to members of the Board of Directors, membe</w:t>
      </w:r>
      <w:r w:rsidR="003A32CA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007C7D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</w:t>
      </w:r>
      <w:r w:rsidR="003A32CA">
        <w:rPr>
          <w:rFonts w:ascii="Arial" w:hAnsi="Arial"/>
          <w:color w:val="010000"/>
          <w:sz w:val="20"/>
        </w:rPr>
        <w:t>other managers</w:t>
      </w:r>
      <w:r>
        <w:rPr>
          <w:rFonts w:ascii="Arial" w:hAnsi="Arial"/>
          <w:color w:val="010000"/>
          <w:sz w:val="20"/>
        </w:rPr>
        <w:t>: None</w:t>
      </w:r>
      <w:bookmarkStart w:id="1" w:name="_GoBack"/>
      <w:bookmarkEnd w:id="1"/>
    </w:p>
    <w:p w14:paraId="0B15D802" w14:textId="75943E61" w:rsidR="00370FF2" w:rsidRDefault="002A55BF" w:rsidP="003A32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007C7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in 2023.</w:t>
      </w:r>
    </w:p>
    <w:p w14:paraId="600C8E88" w14:textId="0EEFDBC4" w:rsidR="00370FF2" w:rsidRDefault="002A55BF" w:rsidP="003A32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of PDMR and </w:t>
      </w:r>
      <w:r w:rsidR="00007C7D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 None</w:t>
      </w:r>
    </w:p>
    <w:p w14:paraId="05209520" w14:textId="5E530FC1" w:rsidR="00370FF2" w:rsidRPr="002A55BF" w:rsidRDefault="002A55BF" w:rsidP="003A32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 None</w:t>
      </w:r>
    </w:p>
    <w:sectPr w:rsidR="00370FF2" w:rsidRPr="002A55BF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13C"/>
    <w:multiLevelType w:val="multilevel"/>
    <w:tmpl w:val="7764BE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333561"/>
    <w:multiLevelType w:val="multilevel"/>
    <w:tmpl w:val="287202E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0C47226"/>
    <w:multiLevelType w:val="multilevel"/>
    <w:tmpl w:val="B330E422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82342C"/>
    <w:multiLevelType w:val="multilevel"/>
    <w:tmpl w:val="7EE6B5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D4F3355"/>
    <w:multiLevelType w:val="multilevel"/>
    <w:tmpl w:val="E1CCD6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25154CF"/>
    <w:multiLevelType w:val="multilevel"/>
    <w:tmpl w:val="9056D6C2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C062E4"/>
    <w:multiLevelType w:val="multilevel"/>
    <w:tmpl w:val="343C6FE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8FA6B23"/>
    <w:multiLevelType w:val="multilevel"/>
    <w:tmpl w:val="C298C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F2"/>
    <w:rsid w:val="00007C7D"/>
    <w:rsid w:val="000C4824"/>
    <w:rsid w:val="00123D4D"/>
    <w:rsid w:val="002A55BF"/>
    <w:rsid w:val="00370FF2"/>
    <w:rsid w:val="003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16D9"/>
  <w15:docId w15:val="{9536E34B-F8D9-48D0-BECF-C43D0361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90" w:lineRule="exact"/>
      <w:ind w:firstLine="200"/>
    </w:pPr>
    <w:rPr>
      <w:rFonts w:ascii="Arial" w:eastAsia="Arial" w:hAnsi="Arial" w:cs="Arial"/>
      <w:sz w:val="8"/>
      <w:szCs w:val="8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left="1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A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ngkhoan.apluc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mG7pg5Ohy69q3fve0odjCk36Sw==">CgMxLjAyCGguZ2pkZ3hzOAByITFJWktvVVRIbFFyWlpHd21FR3VpVWhWWVVHakVaVW12Qg==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2024-02-03T08:09:00Z</dcterms:created>
  <dcterms:modified xsi:type="dcterms:W3CDTF">2024-02-03T08:09:00Z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115a1e331b9328f08c48f65683e95435094a123bb930c2ef50633ea946311357</vt:lpwstr>
  </property>
</Properties>
</file>