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FB06" w14:textId="5C92176D" w:rsidR="00802E09" w:rsidRDefault="00920C80" w:rsidP="008C6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ALV</w:t>
      </w:r>
      <w:r w:rsidR="00E20B71">
        <w:rPr>
          <w:rFonts w:ascii="Arial" w:hAnsi="Arial"/>
          <w:b/>
          <w:color w:val="010000"/>
          <w:sz w:val="20"/>
        </w:rPr>
        <w:t>:</w:t>
      </w:r>
      <w:r>
        <w:rPr>
          <w:rFonts w:ascii="Arial" w:hAnsi="Arial"/>
          <w:b/>
          <w:color w:val="010000"/>
          <w:sz w:val="20"/>
        </w:rPr>
        <w:t xml:space="preserve"> Annual Corporate Governance Report 2023</w:t>
      </w:r>
    </w:p>
    <w:p w14:paraId="7FD9CD26" w14:textId="6284F3F8" w:rsidR="00802E09" w:rsidRDefault="00920C80" w:rsidP="008C6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29, 202</w:t>
      </w:r>
      <w:r w:rsidR="00364BA7">
        <w:rPr>
          <w:rFonts w:ascii="Arial" w:hAnsi="Arial"/>
          <w:color w:val="010000"/>
          <w:sz w:val="20"/>
        </w:rPr>
        <w:t>4</w:t>
      </w:r>
      <w:r>
        <w:rPr>
          <w:rFonts w:ascii="Arial" w:hAnsi="Arial"/>
          <w:color w:val="010000"/>
          <w:sz w:val="20"/>
        </w:rPr>
        <w:t>, ALVICO Construction Joint Stock Company announced Report No. 01/202</w:t>
      </w:r>
      <w:r w:rsidR="00364BA7">
        <w:rPr>
          <w:rFonts w:ascii="Arial" w:hAnsi="Arial"/>
          <w:color w:val="010000"/>
          <w:sz w:val="20"/>
        </w:rPr>
        <w:t>4</w:t>
      </w:r>
      <w:r>
        <w:rPr>
          <w:rFonts w:ascii="Arial" w:hAnsi="Arial"/>
          <w:color w:val="010000"/>
          <w:sz w:val="20"/>
        </w:rPr>
        <w:t>/BC-ALV on the corporate governance in 202</w:t>
      </w:r>
      <w:r w:rsidR="00364BA7">
        <w:rPr>
          <w:rFonts w:ascii="Arial" w:hAnsi="Arial"/>
          <w:color w:val="010000"/>
          <w:sz w:val="20"/>
        </w:rPr>
        <w:t>3</w:t>
      </w:r>
      <w:r>
        <w:rPr>
          <w:rFonts w:ascii="Arial" w:hAnsi="Arial"/>
          <w:color w:val="010000"/>
          <w:sz w:val="20"/>
        </w:rPr>
        <w:t xml:space="preserve"> as follows:</w:t>
      </w:r>
    </w:p>
    <w:p w14:paraId="61A01EF1" w14:textId="77777777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Name of Company: ALVICO Construction Joint Stock Company</w:t>
      </w:r>
    </w:p>
    <w:p w14:paraId="56CFF25E" w14:textId="19FAE58D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Head office address: No. 77-79 Hoang Quoc Viet</w:t>
      </w:r>
      <w:r w:rsidR="008C60BE">
        <w:rPr>
          <w:rFonts w:ascii="Arial" w:hAnsi="Arial"/>
          <w:color w:val="010000"/>
          <w:sz w:val="20"/>
        </w:rPr>
        <w:t xml:space="preserve"> Street</w:t>
      </w:r>
      <w:r>
        <w:rPr>
          <w:rFonts w:ascii="Arial" w:hAnsi="Arial"/>
          <w:color w:val="010000"/>
          <w:sz w:val="20"/>
        </w:rPr>
        <w:t xml:space="preserve">, </w:t>
      </w:r>
      <w:proofErr w:type="spellStart"/>
      <w:r>
        <w:rPr>
          <w:rFonts w:ascii="Arial" w:hAnsi="Arial"/>
          <w:color w:val="010000"/>
          <w:sz w:val="20"/>
        </w:rPr>
        <w:t>Nghia</w:t>
      </w:r>
      <w:proofErr w:type="spellEnd"/>
      <w:r>
        <w:rPr>
          <w:rFonts w:ascii="Arial" w:hAnsi="Arial"/>
          <w:color w:val="010000"/>
          <w:sz w:val="20"/>
        </w:rPr>
        <w:t xml:space="preserve"> Do Ward, </w:t>
      </w:r>
      <w:proofErr w:type="spellStart"/>
      <w:r>
        <w:rPr>
          <w:rFonts w:ascii="Arial" w:hAnsi="Arial"/>
          <w:color w:val="010000"/>
          <w:sz w:val="20"/>
        </w:rPr>
        <w:t>Cau</w:t>
      </w:r>
      <w:proofErr w:type="spellEnd"/>
      <w:r>
        <w:rPr>
          <w:rFonts w:ascii="Arial" w:hAnsi="Arial"/>
          <w:color w:val="010000"/>
          <w:sz w:val="20"/>
        </w:rPr>
        <w:t xml:space="preserve"> </w:t>
      </w:r>
      <w:proofErr w:type="spellStart"/>
      <w:r>
        <w:rPr>
          <w:rFonts w:ascii="Arial" w:hAnsi="Arial"/>
          <w:color w:val="010000"/>
          <w:sz w:val="20"/>
        </w:rPr>
        <w:t>Giay</w:t>
      </w:r>
      <w:proofErr w:type="spellEnd"/>
      <w:r>
        <w:rPr>
          <w:rFonts w:ascii="Arial" w:hAnsi="Arial"/>
          <w:color w:val="010000"/>
          <w:sz w:val="20"/>
        </w:rPr>
        <w:t xml:space="preserve"> District, Hanoi.</w:t>
      </w:r>
    </w:p>
    <w:p w14:paraId="0291F2CB" w14:textId="77777777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Tel: 0982 354 540      Fax:</w:t>
      </w:r>
    </w:p>
    <w:p w14:paraId="341C05C7" w14:textId="77777777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  <w:tab w:val="left" w:pos="34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Email: </w:t>
      </w:r>
      <w:hyperlink r:id="rId6">
        <w:r>
          <w:rPr>
            <w:rFonts w:ascii="Arial" w:hAnsi="Arial"/>
            <w:color w:val="010000"/>
            <w:sz w:val="20"/>
          </w:rPr>
          <w:t>congtyalv@gmail.com</w:t>
        </w:r>
      </w:hyperlink>
    </w:p>
    <w:p w14:paraId="32166755" w14:textId="77777777" w:rsidR="00802E09" w:rsidRDefault="00920C80" w:rsidP="008C6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Charter capital: VND 56,579,360,000</w:t>
      </w:r>
    </w:p>
    <w:p w14:paraId="2086EFAA" w14:textId="77777777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Securities code: ALV</w:t>
      </w:r>
    </w:p>
    <w:p w14:paraId="73A500AE" w14:textId="6A77F4FD" w:rsidR="00802E09" w:rsidRDefault="00920C80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Corporate Governance Model: The </w:t>
      </w:r>
      <w:r w:rsidR="008C60BE">
        <w:rPr>
          <w:rFonts w:ascii="Arial" w:hAnsi="Arial"/>
          <w:color w:val="010000"/>
          <w:sz w:val="20"/>
        </w:rPr>
        <w:t>General Meeting, Board of Directors, Supervisory Board and Managing Director</w:t>
      </w:r>
      <w:r>
        <w:rPr>
          <w:rFonts w:ascii="Arial" w:hAnsi="Arial"/>
          <w:color w:val="010000"/>
          <w:sz w:val="20"/>
        </w:rPr>
        <w:t>.</w:t>
      </w:r>
    </w:p>
    <w:p w14:paraId="1C180EB2" w14:textId="4DA76C99" w:rsidR="00802E09" w:rsidRDefault="008C60BE" w:rsidP="008C60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  <w:tab w:val="left" w:pos="2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Internal audit</w:t>
      </w:r>
      <w:r w:rsidR="00920C80">
        <w:rPr>
          <w:rFonts w:ascii="Arial" w:hAnsi="Arial"/>
          <w:color w:val="010000"/>
          <w:sz w:val="20"/>
        </w:rPr>
        <w:t>: Implemented</w:t>
      </w:r>
    </w:p>
    <w:p w14:paraId="61F88353" w14:textId="3B944A26" w:rsidR="00802E09" w:rsidRDefault="00920C80" w:rsidP="008C60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Activities of the </w:t>
      </w:r>
      <w:r w:rsidR="008C60B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>:</w:t>
      </w:r>
    </w:p>
    <w:p w14:paraId="15D2FDFE" w14:textId="47811FB8" w:rsidR="00802E09" w:rsidRDefault="00920C80" w:rsidP="008C60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Information about the meetings and General Mandates/Decisions of the </w:t>
      </w:r>
      <w:r w:rsidR="008C60BE">
        <w:rPr>
          <w:rFonts w:ascii="Arial" w:hAnsi="Arial"/>
          <w:color w:val="010000"/>
          <w:sz w:val="20"/>
        </w:rPr>
        <w:t>General Meeting</w:t>
      </w:r>
      <w:r>
        <w:rPr>
          <w:rFonts w:ascii="Arial" w:hAnsi="Arial"/>
          <w:color w:val="010000"/>
          <w:sz w:val="20"/>
        </w:rPr>
        <w:t xml:space="preserve"> (including General Mandates approved by collecting shareholders' </w:t>
      </w:r>
      <w:r w:rsidR="008C60BE">
        <w:rPr>
          <w:rFonts w:ascii="Arial" w:hAnsi="Arial"/>
          <w:color w:val="010000"/>
          <w:sz w:val="20"/>
        </w:rPr>
        <w:t>ballots</w:t>
      </w:r>
      <w:r>
        <w:rPr>
          <w:rFonts w:ascii="Arial" w:hAnsi="Arial"/>
          <w:color w:val="010000"/>
          <w:sz w:val="20"/>
        </w:rPr>
        <w:t>):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2029"/>
        <w:gridCol w:w="1758"/>
        <w:gridCol w:w="4541"/>
      </w:tblGrid>
      <w:tr w:rsidR="00802E09" w14:paraId="4C0BECF2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6AFE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6CDFE" w14:textId="6DD682C9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General Mandate/Decision</w:t>
            </w:r>
            <w:r w:rsidR="00DC3CB7">
              <w:rPr>
                <w:rFonts w:ascii="Arial" w:hAnsi="Arial"/>
                <w:color w:val="010000"/>
                <w:sz w:val="20"/>
              </w:rPr>
              <w:t xml:space="preserve"> of the </w:t>
            </w:r>
            <w:r w:rsidR="008C60BE">
              <w:rPr>
                <w:rFonts w:ascii="Arial" w:hAnsi="Arial"/>
                <w:color w:val="010000"/>
                <w:sz w:val="20"/>
              </w:rPr>
              <w:t xml:space="preserve">General Meeting 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C94F0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9C3D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02E09" w14:paraId="11F04C46" w14:textId="77777777">
        <w:tc>
          <w:tcPr>
            <w:tcW w:w="68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DDCD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02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D6D7B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01/2023/NQ-DHDCD-ALV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3DF7E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454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D2826" w14:textId="77777777" w:rsidR="00802E09" w:rsidRDefault="00920C80" w:rsidP="007E4A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Management on the production and business results in 2022 and the production and business plan for 2023;</w:t>
            </w:r>
          </w:p>
          <w:p w14:paraId="68DA069B" w14:textId="77777777" w:rsidR="00802E09" w:rsidRDefault="00920C80" w:rsidP="007E4A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of the Board of Directors on activity results in 2022 and plan for 2023;</w:t>
            </w:r>
          </w:p>
          <w:p w14:paraId="0F3C491F" w14:textId="77777777" w:rsidR="00802E09" w:rsidRDefault="00920C80" w:rsidP="007E4A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Report on activities of the Supervisory Board in 2022 and the Operational plan for 2023; </w:t>
            </w:r>
          </w:p>
          <w:p w14:paraId="16CDD174" w14:textId="77777777" w:rsidR="00802E09" w:rsidRDefault="00920C80" w:rsidP="007E4A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Report on the investment or sale of assets with a value of 35% or more of the total asset value recorded on the 2021 Financial Statements and the addition of business lines and amended charter after adding business lines;</w:t>
            </w:r>
          </w:p>
          <w:p w14:paraId="70E9028A" w14:textId="5E9556FE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Audited Financial Statements </w:t>
            </w:r>
            <w:r w:rsidR="003F5292">
              <w:rPr>
                <w:rFonts w:ascii="Arial" w:hAnsi="Arial"/>
                <w:color w:val="010000"/>
                <w:sz w:val="20"/>
              </w:rPr>
              <w:t xml:space="preserve">2022 </w:t>
            </w:r>
            <w:r>
              <w:rPr>
                <w:rFonts w:ascii="Arial" w:hAnsi="Arial"/>
                <w:color w:val="010000"/>
                <w:sz w:val="20"/>
              </w:rPr>
              <w:t>of ALVICO Construction Joint Stock Company;</w:t>
            </w:r>
          </w:p>
          <w:p w14:paraId="36135933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Approve the Business Plan for 2023; </w:t>
            </w:r>
          </w:p>
          <w:p w14:paraId="1F51D71D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plan on profit distribution, appropriation for funds and dividend payment in 2022.</w:t>
            </w:r>
          </w:p>
          <w:p w14:paraId="21B6485B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remuneration of the Board of Directors, the Supervisory Board paid in 2022 and the payment plan in 2023;</w:t>
            </w:r>
          </w:p>
          <w:p w14:paraId="69029636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the selection of an audit company for the Financial Statements of 2023;</w:t>
            </w:r>
          </w:p>
          <w:p w14:paraId="23497694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election of members of the Board of Directors for the term 2023-2028; the dismissal and additional election of members of the Supervisory Board for the term 2023-2025; </w:t>
            </w:r>
          </w:p>
          <w:p w14:paraId="5456C0E4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Nomination, Candidacy and Election Regulations of members of the Board of Directors and Supervisory Board; </w:t>
            </w:r>
          </w:p>
          <w:p w14:paraId="1F32BC5A" w14:textId="77777777" w:rsidR="00802E09" w:rsidRDefault="00920C80" w:rsidP="007E4A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The election results for members of the Board of Directors for the term 2023-2028 and the Supervisory Board for the term 2023-2025;</w:t>
            </w:r>
          </w:p>
          <w:p w14:paraId="78709425" w14:textId="77777777" w:rsidR="00802E09" w:rsidRDefault="00920C80" w:rsidP="007E4A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"/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cancellation of Private Placement plan to increase Charter Capital; </w:t>
            </w:r>
          </w:p>
        </w:tc>
      </w:tr>
    </w:tbl>
    <w:p w14:paraId="4AAAE495" w14:textId="6E8EC665" w:rsidR="00802E09" w:rsidRDefault="00920C80" w:rsidP="007E4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lastRenderedPageBreak/>
        <w:t>Board of Directors (annual report):</w:t>
      </w:r>
    </w:p>
    <w:p w14:paraId="19100917" w14:textId="77777777" w:rsidR="00802E09" w:rsidRDefault="00920C80" w:rsidP="007E4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Board of Directors:</w:t>
      </w:r>
    </w:p>
    <w:tbl>
      <w:tblPr>
        <w:tblStyle w:val="a0"/>
        <w:tblW w:w="9017" w:type="dxa"/>
        <w:tblLayout w:type="fixed"/>
        <w:tblLook w:val="0400" w:firstRow="0" w:lastRow="0" w:firstColumn="0" w:lastColumn="0" w:noHBand="0" w:noVBand="1"/>
      </w:tblPr>
      <w:tblGrid>
        <w:gridCol w:w="677"/>
        <w:gridCol w:w="2337"/>
        <w:gridCol w:w="2180"/>
        <w:gridCol w:w="1818"/>
        <w:gridCol w:w="2005"/>
      </w:tblGrid>
      <w:tr w:rsidR="00802E09" w14:paraId="7F22BBB5" w14:textId="77777777"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396C7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37C3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0C8B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 (independent member, non-executive member of the Board of Directors)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E09E3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members/independent member of the Board of Directors</w:t>
            </w:r>
          </w:p>
        </w:tc>
      </w:tr>
      <w:tr w:rsidR="00802E09" w14:paraId="45CD5BE3" w14:textId="77777777"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80836" w14:textId="77777777" w:rsidR="00802E09" w:rsidRDefault="00802E09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AFEA63" w14:textId="77777777" w:rsidR="00802E09" w:rsidRDefault="00802E09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FD205" w14:textId="77777777" w:rsidR="00802E09" w:rsidRDefault="00802E09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E905E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41A9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dismissal</w:t>
            </w:r>
          </w:p>
        </w:tc>
      </w:tr>
      <w:tr w:rsidR="00802E09" w14:paraId="4D36FB0C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AFA6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75A46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Lam Thu Huyen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2FD80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Chair of the Board of Directors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80817B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410D8" w14:textId="77777777" w:rsidR="00802E09" w:rsidRDefault="00802E09" w:rsidP="007E4A8C">
            <w:pP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02E09" w14:paraId="18A52CA0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49C74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6E2F42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Loc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17A942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C4F7E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6667B3" w14:textId="77777777" w:rsidR="00802E09" w:rsidRDefault="00802E09" w:rsidP="007E4A8C">
            <w:pP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802E09" w14:paraId="3320A7B6" w14:textId="777777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DAD8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5C3E5" w14:textId="018C05FE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Nguyen Hai </w:t>
            </w:r>
            <w:proofErr w:type="spellStart"/>
            <w:r w:rsidR="0086516E">
              <w:rPr>
                <w:rFonts w:ascii="Arial" w:hAnsi="Arial"/>
                <w:color w:val="010000"/>
                <w:sz w:val="20"/>
              </w:rPr>
              <w:t>Ninh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98EB1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80262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14, 2022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47A9C" w14:textId="77777777" w:rsidR="00802E09" w:rsidRDefault="00802E09" w:rsidP="007E4A8C">
            <w:pP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</w:tbl>
    <w:p w14:paraId="06CEC052" w14:textId="77777777" w:rsidR="00802E09" w:rsidRDefault="00920C80" w:rsidP="007E4A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608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Board Resolutions/Board Decisions (Annual report):</w:t>
      </w:r>
    </w:p>
    <w:tbl>
      <w:tblPr>
        <w:tblStyle w:val="a1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2707"/>
        <w:gridCol w:w="1747"/>
        <w:gridCol w:w="3760"/>
      </w:tblGrid>
      <w:tr w:rsidR="00802E09" w14:paraId="06A6A92F" w14:textId="77777777">
        <w:tc>
          <w:tcPr>
            <w:tcW w:w="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B4BD0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No.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C50BC3" w14:textId="22DEC9D6" w:rsidR="00802E09" w:rsidRDefault="003F6F26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Board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Resolutio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/Board Decisions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611D97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B91D5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Contents</w:t>
            </w:r>
          </w:p>
        </w:tc>
      </w:tr>
      <w:tr w:rsidR="00802E09" w14:paraId="207DFC70" w14:textId="77777777">
        <w:tc>
          <w:tcPr>
            <w:tcW w:w="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5341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9CED5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01/2023/NQ-HDQT-ALV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48F96A" w14:textId="32AE9313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17, 2023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5522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Private placement plan to increase Charter Capital </w:t>
            </w:r>
          </w:p>
        </w:tc>
      </w:tr>
      <w:tr w:rsidR="00802E09" w14:paraId="20A1307F" w14:textId="77777777">
        <w:tc>
          <w:tcPr>
            <w:tcW w:w="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4A0CB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D75D0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02/2023/NQ-HDQT-ALV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19332E" w14:textId="24C50932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24, 2023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D50CA" w14:textId="6C0019DD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Record date to hold the Annual </w:t>
            </w:r>
            <w:r w:rsidR="008C60B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in 2023</w:t>
            </w:r>
          </w:p>
        </w:tc>
      </w:tr>
      <w:tr w:rsidR="00802E09" w14:paraId="51CAFA2F" w14:textId="77777777">
        <w:tc>
          <w:tcPr>
            <w:tcW w:w="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CE4D2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73BDC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01/2023/QD-HDQT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440329" w14:textId="3BA5C120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March 30, 2023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3A188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Periodic meeting of the Board of Directors to review the activities of Q1/2023 and the plan for Q2/2021</w:t>
            </w:r>
          </w:p>
        </w:tc>
      </w:tr>
      <w:tr w:rsidR="00802E09" w14:paraId="101CF716" w14:textId="77777777">
        <w:tc>
          <w:tcPr>
            <w:tcW w:w="80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CB76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7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461FC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03/2023/NQ-HDQT-ALV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DD1E8" w14:textId="6B9847A7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4, 2023</w:t>
            </w:r>
          </w:p>
        </w:tc>
        <w:tc>
          <w:tcPr>
            <w:tcW w:w="37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AAAF89" w14:textId="549E850B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Convene the Annual </w:t>
            </w:r>
            <w:r w:rsidR="008C60B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802E09" w14:paraId="3F039957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3FB21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9F6DC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423957" w14:textId="4A67FE8C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April 5,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E893C" w14:textId="48A7E249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organization of the Annual </w:t>
            </w:r>
            <w:r w:rsidR="008C60BE">
              <w:rPr>
                <w:rFonts w:ascii="Arial" w:hAnsi="Arial"/>
                <w:color w:val="010000"/>
                <w:sz w:val="20"/>
              </w:rPr>
              <w:t>General Meeting</w:t>
            </w:r>
            <w:r>
              <w:rPr>
                <w:rFonts w:ascii="Arial" w:hAnsi="Arial"/>
                <w:color w:val="010000"/>
                <w:sz w:val="20"/>
              </w:rPr>
              <w:t xml:space="preserve"> 2023</w:t>
            </w:r>
          </w:p>
        </w:tc>
      </w:tr>
      <w:tr w:rsidR="00802E09" w14:paraId="42F22C06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1E709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D1ACAB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D9D9DD" w14:textId="2F5E4195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29,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7C08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Elect the Chair of the Board of Directors for the term 2023-2028</w:t>
            </w:r>
          </w:p>
        </w:tc>
      </w:tr>
      <w:tr w:rsidR="00802E09" w14:paraId="6BC1F66B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FBD5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609B2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02/2023/QD-HDQT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2D4FD6" w14:textId="0E20E403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29,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5C735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Periodic meeting of the Board of Directors to review the activities of Q2/2023 and the plan for Q3/2021</w:t>
            </w:r>
          </w:p>
        </w:tc>
      </w:tr>
      <w:tr w:rsidR="00802E09" w14:paraId="7348A33E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176607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1D776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03/2023/QD-HDQT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39732" w14:textId="37C3087A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28,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EC1E0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Periodic meeting of the Board of Directors to review the activities of Q3/2023 and the plan for Q4/2021</w:t>
            </w:r>
          </w:p>
        </w:tc>
      </w:tr>
      <w:tr w:rsidR="00802E09" w14:paraId="27B5BE0A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AB846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0409A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06/2023/NQ-HDQT-ALV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F37DD9" w14:textId="21720206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October 26,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FC56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liquidation of the construction contract of structural steel sections and steel plates under the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project No. 07/2022/HDTCXD/BD- ALVICO dated December 26, 2022</w:t>
            </w:r>
          </w:p>
        </w:tc>
      </w:tr>
      <w:tr w:rsidR="00802E09" w14:paraId="4CBB77FC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485E8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5E185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07/2023/NQ-HDQT-ALV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D7774E" w14:textId="19D2DAD5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08A555" w14:textId="212B099D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hAnsi="Arial"/>
                <w:color w:val="010000"/>
                <w:sz w:val="20"/>
              </w:rPr>
              <w:t xml:space="preserve">Approve the liquidation of the construction contract of structural steel sections and steel plates under the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project No. 02/2022/H</w:t>
            </w:r>
            <w:r w:rsidR="003724FB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>TCXD/ALVICO-T</w:t>
            </w:r>
            <w:r w:rsidR="003724FB">
              <w:rPr>
                <w:rFonts w:ascii="Arial" w:hAnsi="Arial"/>
                <w:color w:val="010000"/>
                <w:sz w:val="20"/>
              </w:rPr>
              <w:t>D</w:t>
            </w:r>
            <w:r>
              <w:rPr>
                <w:rFonts w:ascii="Arial" w:hAnsi="Arial"/>
                <w:color w:val="010000"/>
                <w:sz w:val="20"/>
              </w:rPr>
              <w:t xml:space="preserve"> dated December 28, 2022 </w:t>
            </w:r>
          </w:p>
        </w:tc>
      </w:tr>
      <w:tr w:rsidR="00802E09" w14:paraId="31D697BD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6CAA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CA174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08/2023/NQ-HDQT-ALV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CD79E" w14:textId="754100A3" w:rsidR="00802E09" w:rsidRDefault="003724F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6,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8789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 to supply materials, fabricate and install steel structure equipment under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Factory project</w:t>
            </w:r>
          </w:p>
        </w:tc>
      </w:tr>
      <w:tr w:rsidR="00802E09" w14:paraId="42AC1A79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87FC9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12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F0DE0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09/2023/NQ-HDQT-ALV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838C56" w14:textId="4D7CE292" w:rsidR="00802E09" w:rsidRDefault="00CE726B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November 22,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BA37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 to audit the Financial Statements for the fiscal year ending December 31, 2023 of ALVICO </w:t>
            </w:r>
          </w:p>
        </w:tc>
      </w:tr>
      <w:tr w:rsidR="00802E09" w14:paraId="14EFE695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7DE7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B00F9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114C8A" w14:textId="65AB509C" w:rsidR="00802E09" w:rsidRDefault="00945D33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4,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B21C2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Approve Board Resolution on loan, guarantee issuance, letter of credit, and use of bank services;</w:t>
            </w:r>
          </w:p>
        </w:tc>
      </w:tr>
      <w:tr w:rsidR="00802E09" w14:paraId="2B61CBA6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6D9BB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FCE26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11/2023/NQ-HDQT-ALV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55D9B" w14:textId="066374E8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5,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4F04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contract to purchase and sell construction steel to serve the construction of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</w:t>
            </w:r>
          </w:p>
        </w:tc>
      </w:tr>
      <w:tr w:rsidR="00802E09" w14:paraId="30916E28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E7792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DF4D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12/2023/NQ-HDQT-ALV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64C39" w14:textId="5209D399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21,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6ED1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Resolutions on the approval of the contract to process and install structural equipment for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</w:t>
            </w:r>
          </w:p>
        </w:tc>
      </w:tr>
      <w:tr w:rsidR="00802E09" w14:paraId="642CADE8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3BCB39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0299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04/2023/QD-HDQT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79590E" w14:textId="5B57A6AF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25,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5A52F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Establishment of the Asset Inventory and Assessment Council 2023</w:t>
            </w:r>
          </w:p>
        </w:tc>
      </w:tr>
      <w:tr w:rsidR="00802E09" w14:paraId="46EC7AFC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188CA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D7ACD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13/2023/NQ-HDQT-ALV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0DADD5" w14:textId="46029031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27,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D2B166" w14:textId="3C7BE91B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construction contracts for silo items under the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project and the </w:t>
            </w:r>
            <w:r w:rsidR="004E5A8E">
              <w:rPr>
                <w:rFonts w:ascii="Arial" w:hAnsi="Arial"/>
                <w:color w:val="010000"/>
                <w:sz w:val="20"/>
              </w:rPr>
              <w:t>Principal</w:t>
            </w:r>
            <w:r>
              <w:rPr>
                <w:rFonts w:ascii="Arial" w:hAnsi="Arial"/>
                <w:color w:val="010000"/>
                <w:sz w:val="20"/>
              </w:rPr>
              <w:t xml:space="preserve"> Contract for purchasing and selling construction steel to serve the construction of the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</w:t>
            </w:r>
          </w:p>
        </w:tc>
      </w:tr>
      <w:tr w:rsidR="00802E09" w14:paraId="195E1151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36E2CB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18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A7905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14/2023/NQ-HDQT-ALV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5A1B20" w14:textId="665ADFFE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29,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F5E3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Approve the construction lump-sum contract for Silo items under Lien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Khe</w:t>
            </w:r>
            <w:proofErr w:type="spellEnd"/>
            <w:r>
              <w:rPr>
                <w:rFonts w:ascii="Arial" w:hAnsi="Arial"/>
                <w:color w:val="010000"/>
                <w:sz w:val="20"/>
              </w:rPr>
              <w:t xml:space="preserve"> Cement Factory project</w:t>
            </w:r>
          </w:p>
        </w:tc>
      </w:tr>
      <w:tr w:rsidR="00802E09" w14:paraId="687629FE" w14:textId="77777777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CAFFC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C36DB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05/2023/QD-HDQT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546843" w14:textId="19349BBA" w:rsidR="00802E09" w:rsidRDefault="004E5A8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December 30, 2023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308BF6" w14:textId="57F1D89A" w:rsidR="00802E09" w:rsidRDefault="00920C80" w:rsidP="008C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Periodic meeting of the Board of Directors to review the activities of Q4/2023 and plan for 2024</w:t>
            </w:r>
          </w:p>
        </w:tc>
      </w:tr>
    </w:tbl>
    <w:p w14:paraId="1835D602" w14:textId="3DBDE2C7" w:rsidR="00802E09" w:rsidRDefault="00920C80" w:rsidP="007E4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Supervisory Board (Annual Report):</w:t>
      </w:r>
    </w:p>
    <w:p w14:paraId="645FD14F" w14:textId="77777777" w:rsidR="00802E09" w:rsidRDefault="00920C80" w:rsidP="007E4A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Information about members of the Supervisory Board:</w:t>
      </w:r>
    </w:p>
    <w:tbl>
      <w:tblPr>
        <w:tblStyle w:val="a2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272"/>
        <w:gridCol w:w="1619"/>
        <w:gridCol w:w="2554"/>
        <w:gridCol w:w="1890"/>
      </w:tblGrid>
      <w:tr w:rsidR="00802E09" w14:paraId="1E6642CA" w14:textId="77777777"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EDA196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CC1D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4765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Position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C0A3E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Supervisory Board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E1E04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</w:tr>
      <w:tr w:rsidR="00802E09" w14:paraId="10FD715E" w14:textId="77777777"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1CF2E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A09376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Mai Thi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Xuyen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46118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Chief of the Supervisory </w:t>
            </w:r>
            <w:r>
              <w:rPr>
                <w:rFonts w:ascii="Arial" w:hAnsi="Arial"/>
                <w:color w:val="010000"/>
                <w:sz w:val="20"/>
              </w:rPr>
              <w:lastRenderedPageBreak/>
              <w:t>Board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A2A4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June 24, 2020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3AF6A" w14:textId="4EDE2830" w:rsidR="00802E09" w:rsidRDefault="008C60B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20C8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802E09" w14:paraId="1114BDEF" w14:textId="77777777"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5F2E04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>2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3591D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Hoang Yen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E8C6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ECD6E2" w14:textId="147AA0BC" w:rsidR="00802E09" w:rsidRDefault="003D769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FC6E00" w14:textId="3463EC0B" w:rsidR="00802E09" w:rsidRDefault="008C60B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20C8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  <w:tr w:rsidR="00802E09" w14:paraId="14540938" w14:textId="77777777"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C73BA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3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99BD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Mr. Dang Xuan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Hoa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EB6257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286D1C" w14:textId="2D11A679" w:rsidR="00802E09" w:rsidRDefault="003D769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24, 2020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EAC48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Engineer</w:t>
            </w:r>
          </w:p>
        </w:tc>
      </w:tr>
      <w:tr w:rsidR="00802E09" w14:paraId="302C7966" w14:textId="77777777"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2729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4</w:t>
            </w:r>
          </w:p>
        </w:tc>
        <w:tc>
          <w:tcPr>
            <w:tcW w:w="227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24305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Nghiem Thi Thu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Hien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5ED603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Supervisory Board</w:t>
            </w:r>
          </w:p>
        </w:tc>
        <w:tc>
          <w:tcPr>
            <w:tcW w:w="255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452694" w14:textId="11B7197E" w:rsidR="00802E09" w:rsidRDefault="003D769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May 26, 2023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E5CE69" w14:textId="0E385DBE" w:rsidR="00802E09" w:rsidRDefault="008C60B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 in</w:t>
            </w:r>
            <w:r w:rsidR="00920C80">
              <w:rPr>
                <w:rFonts w:ascii="Arial" w:hAnsi="Arial"/>
                <w:color w:val="010000"/>
                <w:sz w:val="20"/>
              </w:rPr>
              <w:t xml:space="preserve"> Economics</w:t>
            </w:r>
          </w:p>
        </w:tc>
      </w:tr>
    </w:tbl>
    <w:p w14:paraId="3539FD12" w14:textId="3C94D1E8" w:rsidR="00802E09" w:rsidRDefault="00920C80" w:rsidP="007E4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Executive Board:</w:t>
      </w:r>
    </w:p>
    <w:tbl>
      <w:tblPr>
        <w:tblStyle w:val="a3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07"/>
        <w:gridCol w:w="1358"/>
        <w:gridCol w:w="1921"/>
        <w:gridCol w:w="2851"/>
      </w:tblGrid>
      <w:tr w:rsidR="00802E09" w14:paraId="58DDB650" w14:textId="77777777">
        <w:tc>
          <w:tcPr>
            <w:tcW w:w="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E6C2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</w:tc>
        <w:tc>
          <w:tcPr>
            <w:tcW w:w="22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784BD2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Member of the Executive Board</w:t>
            </w:r>
          </w:p>
        </w:tc>
        <w:tc>
          <w:tcPr>
            <w:tcW w:w="1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1727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1C58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4AF8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appointment/dismissal as member of the Executive Board</w:t>
            </w:r>
          </w:p>
        </w:tc>
      </w:tr>
      <w:tr w:rsidR="00802E09" w14:paraId="4D755E41" w14:textId="77777777">
        <w:tc>
          <w:tcPr>
            <w:tcW w:w="68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A7FBCB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2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7387B1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Ms. Le Thi Thao</w:t>
            </w:r>
          </w:p>
        </w:tc>
        <w:tc>
          <w:tcPr>
            <w:tcW w:w="13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96F2F" w14:textId="5B03DA6E" w:rsidR="00802E09" w:rsidRDefault="008C60B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August 14, 1994</w:t>
            </w:r>
          </w:p>
        </w:tc>
        <w:tc>
          <w:tcPr>
            <w:tcW w:w="19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B4EC4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28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29963C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date: December 27, 2021</w:t>
            </w:r>
          </w:p>
        </w:tc>
      </w:tr>
    </w:tbl>
    <w:p w14:paraId="2AADB104" w14:textId="77777777" w:rsidR="00802E09" w:rsidRDefault="00920C80" w:rsidP="007E4A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Chief Accountant:</w:t>
      </w:r>
    </w:p>
    <w:tbl>
      <w:tblPr>
        <w:tblStyle w:val="a4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2312"/>
        <w:gridCol w:w="2326"/>
        <w:gridCol w:w="1912"/>
      </w:tblGrid>
      <w:tr w:rsidR="00802E09" w14:paraId="3DDE26ED" w14:textId="77777777"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6CB247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Full name</w:t>
            </w:r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00471A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Date of birth</w:t>
            </w:r>
          </w:p>
        </w:tc>
        <w:tc>
          <w:tcPr>
            <w:tcW w:w="2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B48D3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Professional Qualification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99FF25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Appointment date</w:t>
            </w:r>
          </w:p>
        </w:tc>
      </w:tr>
      <w:tr w:rsidR="00802E09" w14:paraId="464F6465" w14:textId="77777777">
        <w:tc>
          <w:tcPr>
            <w:tcW w:w="246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82EF0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Ms. Ha Thi Hong </w:t>
            </w:r>
            <w:proofErr w:type="spellStart"/>
            <w:r>
              <w:rPr>
                <w:rFonts w:ascii="Arial" w:hAnsi="Arial"/>
                <w:color w:val="010000"/>
                <w:sz w:val="20"/>
              </w:rPr>
              <w:t>Nhung</w:t>
            </w:r>
            <w:proofErr w:type="spellEnd"/>
          </w:p>
        </w:tc>
        <w:tc>
          <w:tcPr>
            <w:tcW w:w="23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D62B0" w14:textId="02255E34" w:rsidR="00802E09" w:rsidRDefault="008C60BE" w:rsidP="008C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20, 1986</w:t>
            </w:r>
          </w:p>
        </w:tc>
        <w:tc>
          <w:tcPr>
            <w:tcW w:w="23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3FC7EF" w14:textId="77777777" w:rsidR="00802E09" w:rsidRDefault="00920C80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Bachelor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61F65" w14:textId="461CC962" w:rsidR="00802E09" w:rsidRDefault="003D769E" w:rsidP="007E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"/>
                <w:tab w:val="left" w:pos="709"/>
                <w:tab w:val="left" w:pos="1418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17, 2019</w:t>
            </w:r>
          </w:p>
        </w:tc>
      </w:tr>
    </w:tbl>
    <w:p w14:paraId="6ECB5686" w14:textId="77777777" w:rsidR="00802E09" w:rsidRDefault="00920C80" w:rsidP="008C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78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Training on Corporate Governance:</w:t>
      </w:r>
    </w:p>
    <w:p w14:paraId="09C338BC" w14:textId="44FF2F4B" w:rsidR="00802E09" w:rsidRDefault="00920C80" w:rsidP="008C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822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List of </w:t>
      </w:r>
      <w:r w:rsidR="008C60B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public company (Annual report) and transactions between the </w:t>
      </w:r>
      <w:r w:rsidR="008C60B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 and the Company itself:</w:t>
      </w:r>
    </w:p>
    <w:p w14:paraId="1F06DE39" w14:textId="78876EB0" w:rsidR="00802E09" w:rsidRPr="00920C80" w:rsidRDefault="00920C80" w:rsidP="008C60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 and </w:t>
      </w:r>
      <w:r w:rsidR="008C60B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the Company; or between the Company and </w:t>
      </w:r>
      <w:r w:rsidR="008C60BE">
        <w:rPr>
          <w:rFonts w:ascii="Arial" w:hAnsi="Arial"/>
          <w:color w:val="010000"/>
          <w:sz w:val="20"/>
        </w:rPr>
        <w:t>principal s</w:t>
      </w:r>
      <w:bookmarkStart w:id="1" w:name="_GoBack"/>
      <w:bookmarkEnd w:id="1"/>
      <w:r>
        <w:rPr>
          <w:rFonts w:ascii="Arial" w:hAnsi="Arial"/>
          <w:color w:val="010000"/>
          <w:sz w:val="20"/>
        </w:rPr>
        <w:t>hareholders</w:t>
      </w:r>
      <w:r>
        <w:rPr>
          <w:rFonts w:ascii="Arial" w:eastAsia="Arial" w:hAnsi="Arial" w:cs="Arial"/>
          <w:color w:val="010000"/>
          <w:sz w:val="20"/>
          <w:szCs w:val="20"/>
        </w:rPr>
        <w:t xml:space="preserve">, </w:t>
      </w:r>
      <w:r w:rsidRPr="00920C80">
        <w:rPr>
          <w:rFonts w:ascii="Arial" w:hAnsi="Arial"/>
          <w:color w:val="010000"/>
          <w:sz w:val="20"/>
        </w:rPr>
        <w:t xml:space="preserve">PDMR and </w:t>
      </w:r>
      <w:r w:rsidR="008C60BE">
        <w:rPr>
          <w:rFonts w:ascii="Arial" w:hAnsi="Arial"/>
          <w:color w:val="010000"/>
          <w:sz w:val="20"/>
        </w:rPr>
        <w:t>related</w:t>
      </w:r>
      <w:r w:rsidRPr="00920C80">
        <w:rPr>
          <w:rFonts w:ascii="Arial" w:hAnsi="Arial"/>
          <w:color w:val="010000"/>
          <w:sz w:val="20"/>
        </w:rPr>
        <w:t xml:space="preserve"> persons of PDMR: None</w:t>
      </w:r>
    </w:p>
    <w:p w14:paraId="6587E707" w14:textId="4C483367" w:rsidR="00802E09" w:rsidRDefault="00920C80" w:rsidP="008C6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Transactions between the Company’s PDMR, </w:t>
      </w:r>
      <w:r w:rsidR="008C60B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and subsidiaries, companies controlled by the Company: None</w:t>
      </w:r>
    </w:p>
    <w:p w14:paraId="29B6EBD5" w14:textId="77777777" w:rsidR="00802E09" w:rsidRDefault="00920C80" w:rsidP="008C60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Transactions between the Company and other entities: None</w:t>
      </w:r>
    </w:p>
    <w:p w14:paraId="6982209F" w14:textId="6481FD0E" w:rsidR="00802E09" w:rsidRDefault="00920C80" w:rsidP="008C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088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Share transactions of PDMR and </w:t>
      </w:r>
      <w:r w:rsidR="008C60BE">
        <w:rPr>
          <w:rFonts w:ascii="Arial" w:hAnsi="Arial"/>
          <w:color w:val="010000"/>
          <w:sz w:val="20"/>
        </w:rPr>
        <w:t>related</w:t>
      </w:r>
      <w:r>
        <w:rPr>
          <w:rFonts w:ascii="Arial" w:hAnsi="Arial"/>
          <w:color w:val="010000"/>
          <w:sz w:val="20"/>
        </w:rPr>
        <w:t xml:space="preserve"> persons of PDMR (Annual report): None.</w:t>
      </w:r>
    </w:p>
    <w:p w14:paraId="402A5039" w14:textId="77777777" w:rsidR="00802E09" w:rsidRDefault="00920C80" w:rsidP="008C60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32"/>
          <w:tab w:val="left" w:pos="709"/>
          <w:tab w:val="left" w:pos="1088"/>
          <w:tab w:val="left" w:pos="14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significant issues None</w:t>
      </w:r>
    </w:p>
    <w:sectPr w:rsidR="00802E09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217"/>
    <w:multiLevelType w:val="multilevel"/>
    <w:tmpl w:val="CD967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2B7"/>
    <w:multiLevelType w:val="multilevel"/>
    <w:tmpl w:val="DB5CD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9AF"/>
    <w:multiLevelType w:val="multilevel"/>
    <w:tmpl w:val="AFC0DA3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E84B6E"/>
    <w:multiLevelType w:val="multilevel"/>
    <w:tmpl w:val="FFDC245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1B389A"/>
    <w:multiLevelType w:val="multilevel"/>
    <w:tmpl w:val="374020E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512526"/>
    <w:multiLevelType w:val="multilevel"/>
    <w:tmpl w:val="CCF44112"/>
    <w:lvl w:ilvl="0">
      <w:start w:val="6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3A345C"/>
    <w:multiLevelType w:val="multilevel"/>
    <w:tmpl w:val="BADAC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3CB6"/>
    <w:multiLevelType w:val="multilevel"/>
    <w:tmpl w:val="97E80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3811"/>
    <w:multiLevelType w:val="multilevel"/>
    <w:tmpl w:val="5616FDB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09"/>
    <w:rsid w:val="00364BA7"/>
    <w:rsid w:val="003724FB"/>
    <w:rsid w:val="003D769E"/>
    <w:rsid w:val="003F5292"/>
    <w:rsid w:val="003F6F26"/>
    <w:rsid w:val="004E5A8E"/>
    <w:rsid w:val="007E4A8C"/>
    <w:rsid w:val="00802E09"/>
    <w:rsid w:val="0086516E"/>
    <w:rsid w:val="008C60BE"/>
    <w:rsid w:val="008E4455"/>
    <w:rsid w:val="00920C80"/>
    <w:rsid w:val="00945D33"/>
    <w:rsid w:val="00CE726B"/>
    <w:rsid w:val="00DC3CB7"/>
    <w:rsid w:val="00E2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06B4"/>
  <w15:docId w15:val="{DEDE2116-A4B8-4E3A-A3BD-B9CC9DB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0F10"/>
      <w:sz w:val="10"/>
      <w:szCs w:val="1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40F1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66" w:lineRule="auto"/>
      <w:ind w:left="2540"/>
    </w:pPr>
    <w:rPr>
      <w:rFonts w:ascii="Arial" w:eastAsia="Arial" w:hAnsi="Arial" w:cs="Arial"/>
      <w:b/>
      <w:bCs/>
    </w:rPr>
  </w:style>
  <w:style w:type="paragraph" w:customStyle="1" w:styleId="Heading11">
    <w:name w:val="Heading #1"/>
    <w:basedOn w:val="Normal"/>
    <w:link w:val="Heading10"/>
    <w:pPr>
      <w:ind w:left="27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25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E40F10"/>
      <w:sz w:val="10"/>
      <w:szCs w:val="10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color w:val="E40F10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gtyal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+KYe+Sw6jv0BDV5R11G3SSE4oA==">CgMxLjAyCGguZ2pkZ3hzOAByITFSVkVfSjluUmRvMGhhOU9WTVVBQjlQd3p3WXhZeUU3aw==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2024-02-05T12:52:00Z</dcterms:created>
  <dcterms:modified xsi:type="dcterms:W3CDTF">2024-02-05T12:52:00Z</dcterms:modified>
</cp:coreProperties>
</file>