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77DC" w:rsidRPr="00FB1E9E" w:rsidRDefault="00BC7EF4" w:rsidP="00BC7EF4">
      <w:pPr>
        <w:pBdr>
          <w:top w:val="nil"/>
          <w:left w:val="nil"/>
          <w:bottom w:val="nil"/>
          <w:right w:val="nil"/>
          <w:between w:val="nil"/>
        </w:pBdr>
        <w:tabs>
          <w:tab w:val="left" w:pos="432"/>
          <w:tab w:val="left" w:pos="5339"/>
        </w:tabs>
        <w:spacing w:after="120" w:line="360" w:lineRule="auto"/>
        <w:rPr>
          <w:rFonts w:ascii="Arial" w:eastAsia="Arial" w:hAnsi="Arial" w:cs="Arial"/>
          <w:b/>
          <w:color w:val="010000"/>
          <w:sz w:val="20"/>
          <w:szCs w:val="20"/>
        </w:rPr>
      </w:pPr>
      <w:bookmarkStart w:id="0" w:name="_GoBack"/>
      <w:r w:rsidRPr="00FB1E9E">
        <w:rPr>
          <w:rFonts w:ascii="Arial" w:hAnsi="Arial" w:cs="Arial"/>
          <w:b/>
          <w:color w:val="010000"/>
          <w:sz w:val="20"/>
        </w:rPr>
        <w:t>FHN: Board Resolution</w:t>
      </w:r>
    </w:p>
    <w:p w14:paraId="00000002" w14:textId="77777777" w:rsidR="003177DC" w:rsidRPr="00FB1E9E" w:rsidRDefault="00BC7EF4" w:rsidP="00BC7EF4">
      <w:pPr>
        <w:pBdr>
          <w:top w:val="nil"/>
          <w:left w:val="nil"/>
          <w:bottom w:val="nil"/>
          <w:right w:val="nil"/>
          <w:between w:val="nil"/>
        </w:pBdr>
        <w:tabs>
          <w:tab w:val="left" w:pos="432"/>
          <w:tab w:val="left" w:pos="5339"/>
        </w:tabs>
        <w:spacing w:after="120" w:line="360" w:lineRule="auto"/>
        <w:rPr>
          <w:rFonts w:ascii="Arial" w:eastAsia="Arial" w:hAnsi="Arial" w:cs="Arial"/>
          <w:color w:val="010000"/>
          <w:sz w:val="20"/>
          <w:szCs w:val="20"/>
        </w:rPr>
      </w:pPr>
      <w:r w:rsidRPr="00FB1E9E">
        <w:rPr>
          <w:rFonts w:ascii="Arial" w:hAnsi="Arial" w:cs="Arial"/>
          <w:color w:val="010000"/>
          <w:sz w:val="20"/>
        </w:rPr>
        <w:t>On January 31, 2024, Hanoi Food Import - Export Joint Stock Company announced Resolution No. 52/NQ-HDQT as follows:</w:t>
      </w:r>
    </w:p>
    <w:p w14:paraId="00000003" w14:textId="77777777" w:rsidR="003177DC" w:rsidRPr="00FB1E9E" w:rsidRDefault="00BC7EF4" w:rsidP="00BC7E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E9E">
        <w:rPr>
          <w:rFonts w:ascii="Arial" w:hAnsi="Arial" w:cs="Arial"/>
          <w:color w:val="010000"/>
          <w:sz w:val="20"/>
        </w:rPr>
        <w:t>‎‎Article 1. Approve the plan to organize the Annual General Meeting of Shareholders 2024 of Hanoi Food Import - Export Joint Stock Company.</w:t>
      </w:r>
    </w:p>
    <w:p w14:paraId="00000004" w14:textId="77777777" w:rsidR="003177DC" w:rsidRPr="00FB1E9E" w:rsidRDefault="00BC7EF4" w:rsidP="00BC7EF4">
      <w:pPr>
        <w:numPr>
          <w:ilvl w:val="0"/>
          <w:numId w:val="1"/>
        </w:numPr>
        <w:pBdr>
          <w:top w:val="nil"/>
          <w:left w:val="nil"/>
          <w:bottom w:val="nil"/>
          <w:right w:val="nil"/>
          <w:between w:val="nil"/>
        </w:pBdr>
        <w:tabs>
          <w:tab w:val="left" w:pos="432"/>
          <w:tab w:val="left" w:pos="1768"/>
        </w:tabs>
        <w:spacing w:after="120" w:line="360" w:lineRule="auto"/>
        <w:rPr>
          <w:rFonts w:ascii="Arial" w:eastAsia="Arial" w:hAnsi="Arial" w:cs="Arial"/>
          <w:color w:val="010000"/>
          <w:sz w:val="20"/>
          <w:szCs w:val="20"/>
        </w:rPr>
      </w:pPr>
      <w:r w:rsidRPr="00FB1E9E">
        <w:rPr>
          <w:rFonts w:ascii="Arial" w:hAnsi="Arial" w:cs="Arial"/>
          <w:color w:val="010000"/>
          <w:sz w:val="20"/>
        </w:rPr>
        <w:t>Name of organization: Hanoi Food Import - Export Joint Stock Company</w:t>
      </w:r>
    </w:p>
    <w:p w14:paraId="00000005" w14:textId="075FD6A0" w:rsidR="003177DC" w:rsidRPr="00FB1E9E" w:rsidRDefault="00BC7EF4" w:rsidP="00BC7EF4">
      <w:pPr>
        <w:numPr>
          <w:ilvl w:val="0"/>
          <w:numId w:val="1"/>
        </w:numPr>
        <w:pBdr>
          <w:top w:val="nil"/>
          <w:left w:val="nil"/>
          <w:bottom w:val="nil"/>
          <w:right w:val="nil"/>
          <w:between w:val="nil"/>
        </w:pBdr>
        <w:tabs>
          <w:tab w:val="left" w:pos="432"/>
          <w:tab w:val="left" w:pos="1768"/>
        </w:tabs>
        <w:spacing w:after="120" w:line="360" w:lineRule="auto"/>
        <w:rPr>
          <w:rFonts w:ascii="Arial" w:eastAsia="Arial" w:hAnsi="Arial" w:cs="Arial"/>
          <w:color w:val="010000"/>
          <w:sz w:val="20"/>
          <w:szCs w:val="20"/>
        </w:rPr>
      </w:pPr>
      <w:r w:rsidRPr="00FB1E9E">
        <w:rPr>
          <w:rFonts w:ascii="Arial" w:hAnsi="Arial" w:cs="Arial"/>
          <w:color w:val="010000"/>
          <w:sz w:val="20"/>
        </w:rPr>
        <w:t>Securities code: FHN</w:t>
      </w:r>
    </w:p>
    <w:p w14:paraId="00000006" w14:textId="54BBC771" w:rsidR="003177DC" w:rsidRPr="00FB1E9E" w:rsidRDefault="00BC7EF4" w:rsidP="00BC7EF4">
      <w:pPr>
        <w:numPr>
          <w:ilvl w:val="0"/>
          <w:numId w:val="1"/>
        </w:numPr>
        <w:pBdr>
          <w:top w:val="nil"/>
          <w:left w:val="nil"/>
          <w:bottom w:val="nil"/>
          <w:right w:val="nil"/>
          <w:between w:val="nil"/>
        </w:pBdr>
        <w:tabs>
          <w:tab w:val="left" w:pos="432"/>
          <w:tab w:val="left" w:pos="1768"/>
        </w:tabs>
        <w:spacing w:after="120" w:line="360" w:lineRule="auto"/>
        <w:rPr>
          <w:rFonts w:ascii="Arial" w:eastAsia="Arial" w:hAnsi="Arial" w:cs="Arial"/>
          <w:color w:val="010000"/>
          <w:sz w:val="20"/>
          <w:szCs w:val="20"/>
        </w:rPr>
      </w:pPr>
      <w:r w:rsidRPr="00FB1E9E">
        <w:rPr>
          <w:rFonts w:ascii="Arial" w:hAnsi="Arial" w:cs="Arial"/>
          <w:color w:val="010000"/>
          <w:sz w:val="20"/>
        </w:rPr>
        <w:t>Transaction par value: VND 10</w:t>
      </w:r>
      <w:r w:rsidR="00FB1E9E" w:rsidRPr="00FB1E9E">
        <w:rPr>
          <w:rFonts w:ascii="Arial" w:hAnsi="Arial" w:cs="Arial"/>
          <w:color w:val="010000"/>
          <w:sz w:val="20"/>
        </w:rPr>
        <w:t>,</w:t>
      </w:r>
      <w:r w:rsidRPr="00FB1E9E">
        <w:rPr>
          <w:rFonts w:ascii="Arial" w:hAnsi="Arial" w:cs="Arial"/>
          <w:color w:val="010000"/>
          <w:sz w:val="20"/>
        </w:rPr>
        <w:t>000/share.</w:t>
      </w:r>
    </w:p>
    <w:p w14:paraId="00000007" w14:textId="77777777" w:rsidR="003177DC" w:rsidRPr="00FB1E9E" w:rsidRDefault="00BC7EF4" w:rsidP="00BC7EF4">
      <w:pPr>
        <w:numPr>
          <w:ilvl w:val="0"/>
          <w:numId w:val="1"/>
        </w:numPr>
        <w:pBdr>
          <w:top w:val="nil"/>
          <w:left w:val="nil"/>
          <w:bottom w:val="nil"/>
          <w:right w:val="nil"/>
          <w:between w:val="nil"/>
        </w:pBdr>
        <w:tabs>
          <w:tab w:val="left" w:pos="432"/>
          <w:tab w:val="left" w:pos="1768"/>
        </w:tabs>
        <w:spacing w:after="120" w:line="360" w:lineRule="auto"/>
        <w:rPr>
          <w:rFonts w:ascii="Arial" w:eastAsia="Arial" w:hAnsi="Arial" w:cs="Arial"/>
          <w:color w:val="010000"/>
          <w:sz w:val="20"/>
          <w:szCs w:val="20"/>
        </w:rPr>
      </w:pPr>
      <w:r w:rsidRPr="00FB1E9E">
        <w:rPr>
          <w:rFonts w:ascii="Arial" w:hAnsi="Arial" w:cs="Arial"/>
          <w:color w:val="010000"/>
          <w:sz w:val="20"/>
        </w:rPr>
        <w:t>Securities type: Common share.</w:t>
      </w:r>
    </w:p>
    <w:p w14:paraId="00000008" w14:textId="77777777" w:rsidR="003177DC" w:rsidRPr="00FB1E9E" w:rsidRDefault="00BC7EF4" w:rsidP="00BC7EF4">
      <w:pPr>
        <w:numPr>
          <w:ilvl w:val="0"/>
          <w:numId w:val="1"/>
        </w:numPr>
        <w:pBdr>
          <w:top w:val="nil"/>
          <w:left w:val="nil"/>
          <w:bottom w:val="nil"/>
          <w:right w:val="nil"/>
          <w:between w:val="nil"/>
        </w:pBdr>
        <w:tabs>
          <w:tab w:val="left" w:pos="432"/>
          <w:tab w:val="left" w:pos="1768"/>
        </w:tabs>
        <w:spacing w:after="120" w:line="360" w:lineRule="auto"/>
        <w:rPr>
          <w:rFonts w:ascii="Arial" w:eastAsia="Arial" w:hAnsi="Arial" w:cs="Arial"/>
          <w:color w:val="010000"/>
          <w:sz w:val="20"/>
          <w:szCs w:val="20"/>
        </w:rPr>
      </w:pPr>
      <w:r w:rsidRPr="00FB1E9E">
        <w:rPr>
          <w:rFonts w:ascii="Arial" w:hAnsi="Arial" w:cs="Arial"/>
          <w:color w:val="010000"/>
          <w:sz w:val="20"/>
        </w:rPr>
        <w:t>Exchange: UpCom.</w:t>
      </w:r>
    </w:p>
    <w:p w14:paraId="00000009" w14:textId="77777777" w:rsidR="003177DC" w:rsidRPr="00FB1E9E" w:rsidRDefault="00BC7EF4" w:rsidP="00BC7EF4">
      <w:pPr>
        <w:numPr>
          <w:ilvl w:val="0"/>
          <w:numId w:val="1"/>
        </w:numPr>
        <w:pBdr>
          <w:top w:val="nil"/>
          <w:left w:val="nil"/>
          <w:bottom w:val="nil"/>
          <w:right w:val="nil"/>
          <w:between w:val="nil"/>
        </w:pBdr>
        <w:tabs>
          <w:tab w:val="left" w:pos="432"/>
          <w:tab w:val="left" w:pos="1768"/>
        </w:tabs>
        <w:spacing w:after="120" w:line="360" w:lineRule="auto"/>
        <w:rPr>
          <w:rFonts w:ascii="Arial" w:eastAsia="Arial" w:hAnsi="Arial" w:cs="Arial"/>
          <w:color w:val="010000"/>
          <w:sz w:val="20"/>
          <w:szCs w:val="20"/>
        </w:rPr>
      </w:pPr>
      <w:r w:rsidRPr="00FB1E9E">
        <w:rPr>
          <w:rFonts w:ascii="Arial" w:hAnsi="Arial" w:cs="Arial"/>
          <w:color w:val="010000"/>
          <w:sz w:val="20"/>
        </w:rPr>
        <w:t>Record date: March 08, 2024.</w:t>
      </w:r>
    </w:p>
    <w:p w14:paraId="0000000A" w14:textId="77777777" w:rsidR="003177DC" w:rsidRPr="00FB1E9E" w:rsidRDefault="00BC7EF4" w:rsidP="00BC7EF4">
      <w:pPr>
        <w:numPr>
          <w:ilvl w:val="0"/>
          <w:numId w:val="1"/>
        </w:numPr>
        <w:pBdr>
          <w:top w:val="nil"/>
          <w:left w:val="nil"/>
          <w:bottom w:val="nil"/>
          <w:right w:val="nil"/>
          <w:between w:val="nil"/>
        </w:pBdr>
        <w:tabs>
          <w:tab w:val="left" w:pos="432"/>
          <w:tab w:val="left" w:pos="1768"/>
        </w:tabs>
        <w:spacing w:after="120" w:line="360" w:lineRule="auto"/>
        <w:rPr>
          <w:rFonts w:ascii="Arial" w:eastAsia="Arial" w:hAnsi="Arial" w:cs="Arial"/>
          <w:color w:val="010000"/>
          <w:sz w:val="20"/>
          <w:szCs w:val="20"/>
        </w:rPr>
      </w:pPr>
      <w:r w:rsidRPr="00FB1E9E">
        <w:rPr>
          <w:rFonts w:ascii="Arial" w:hAnsi="Arial" w:cs="Arial"/>
          <w:color w:val="010000"/>
          <w:sz w:val="20"/>
        </w:rPr>
        <w:t>Time to organize the Annual General Meeting of Shareholders 2024: Expected from April 10, 2024 to April 15, 2024.</w:t>
      </w:r>
    </w:p>
    <w:p w14:paraId="0000000B" w14:textId="77777777" w:rsidR="003177DC" w:rsidRPr="00FB1E9E" w:rsidRDefault="00BC7EF4" w:rsidP="00BC7EF4">
      <w:pPr>
        <w:numPr>
          <w:ilvl w:val="0"/>
          <w:numId w:val="1"/>
        </w:numPr>
        <w:pBdr>
          <w:top w:val="nil"/>
          <w:left w:val="nil"/>
          <w:bottom w:val="nil"/>
          <w:right w:val="nil"/>
          <w:between w:val="nil"/>
        </w:pBdr>
        <w:tabs>
          <w:tab w:val="left" w:pos="432"/>
          <w:tab w:val="left" w:pos="1738"/>
        </w:tabs>
        <w:spacing w:after="120" w:line="360" w:lineRule="auto"/>
        <w:rPr>
          <w:rFonts w:ascii="Arial" w:eastAsia="Arial" w:hAnsi="Arial" w:cs="Arial"/>
          <w:color w:val="010000"/>
          <w:sz w:val="20"/>
          <w:szCs w:val="20"/>
        </w:rPr>
      </w:pPr>
      <w:r w:rsidRPr="00FB1E9E">
        <w:rPr>
          <w:rFonts w:ascii="Arial" w:hAnsi="Arial" w:cs="Arial"/>
          <w:color w:val="010000"/>
          <w:sz w:val="20"/>
        </w:rPr>
        <w:t>Meeting contents: In accordance with the provisions of Law and the Company's Charter, the Company will announce later according to Invitation Letter to attend the Meeting.</w:t>
      </w:r>
    </w:p>
    <w:p w14:paraId="0000000C" w14:textId="77777777" w:rsidR="003177DC" w:rsidRPr="00FB1E9E" w:rsidRDefault="00BC7EF4" w:rsidP="00BC7E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E9E">
        <w:rPr>
          <w:rFonts w:ascii="Arial" w:hAnsi="Arial" w:cs="Arial"/>
          <w:color w:val="010000"/>
          <w:sz w:val="20"/>
        </w:rPr>
        <w:t>Article 2. Assign the Manager of the Company to carry out the registration reporting procedures with the State Securities Commission, the Vietnam Securities Depository, the Hanoi Stock Exchange according to regulations.</w:t>
      </w:r>
    </w:p>
    <w:p w14:paraId="0000000D" w14:textId="77777777" w:rsidR="003177DC" w:rsidRPr="00FB1E9E" w:rsidRDefault="00BC7EF4" w:rsidP="00BC7E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E9E">
        <w:rPr>
          <w:rFonts w:ascii="Arial" w:hAnsi="Arial" w:cs="Arial"/>
          <w:color w:val="010000"/>
          <w:sz w:val="20"/>
        </w:rPr>
        <w:t>‎‎Article 3. This Resolution takes effect from the date of its signing. Members of Board of Directors and the Manager of the Company are responsible for implementing this Resolution.</w:t>
      </w:r>
      <w:bookmarkEnd w:id="0"/>
    </w:p>
    <w:sectPr w:rsidR="003177DC" w:rsidRPr="00FB1E9E" w:rsidSect="00BC7EF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C1E6B"/>
    <w:multiLevelType w:val="multilevel"/>
    <w:tmpl w:val="392E00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DC"/>
    <w:rsid w:val="00166B7D"/>
    <w:rsid w:val="003177DC"/>
    <w:rsid w:val="00BC7EF4"/>
    <w:rsid w:val="00FB1E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DAD83"/>
  <w15:docId w15:val="{CC867569-5583-40B3-A45C-78D92ADD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XRSM12qGpA/C3RTGeXLymAjSJA==">CgMxLjA4AHIhMXVITWFCMzROZG9yOTJTeVc2RnRicXhkUEJMaEJhbmFQ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Admin</cp:lastModifiedBy>
  <cp:revision>3</cp:revision>
  <dcterms:created xsi:type="dcterms:W3CDTF">2024-02-02T11:41:00Z</dcterms:created>
  <dcterms:modified xsi:type="dcterms:W3CDTF">2024-02-05T01:53:00Z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b5d6a1ce80adcbc8e2a62d46816cc86abfef19f6a858a78e7902d11a66c56058</vt:lpwstr>
  </property>
</Properties>
</file>