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7CF3"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SRA: Annual Corporate Governance Report 2023</w:t>
      </w:r>
    </w:p>
    <w:p w14:paraId="40AE5FDA" w14:textId="77777777" w:rsidR="00C72F29" w:rsidRDefault="003842E3" w:rsidP="00277DD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SARA Vietnam Joint Stock Company </w:t>
      </w:r>
      <w:bookmarkStart w:id="1" w:name="_GoBack"/>
      <w:r>
        <w:rPr>
          <w:rFonts w:ascii="Arial" w:hAnsi="Arial"/>
          <w:color w:val="010000"/>
          <w:sz w:val="20"/>
        </w:rPr>
        <w:t>announced Report No. 2601/2024/BCQT-SRA on the corporate governance in 2023 as follows:</w:t>
      </w:r>
    </w:p>
    <w:p w14:paraId="7CA010DF"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Name of listed company: SARA Vietnam Joint Stock Company</w:t>
      </w:r>
    </w:p>
    <w:p w14:paraId="23B443AF"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No.35 BT5 </w:t>
      </w:r>
      <w:proofErr w:type="spellStart"/>
      <w:r>
        <w:rPr>
          <w:rFonts w:ascii="Arial" w:hAnsi="Arial"/>
          <w:color w:val="010000"/>
          <w:sz w:val="20"/>
        </w:rPr>
        <w:t>Phap</w:t>
      </w:r>
      <w:proofErr w:type="spellEnd"/>
      <w:r>
        <w:rPr>
          <w:rFonts w:ascii="Arial" w:hAnsi="Arial"/>
          <w:color w:val="010000"/>
          <w:sz w:val="20"/>
        </w:rPr>
        <w:t xml:space="preserve"> Van </w:t>
      </w:r>
      <w:proofErr w:type="spellStart"/>
      <w:r>
        <w:rPr>
          <w:rFonts w:ascii="Arial" w:hAnsi="Arial"/>
          <w:color w:val="010000"/>
          <w:sz w:val="20"/>
        </w:rPr>
        <w:t>Tu</w:t>
      </w:r>
      <w:proofErr w:type="spellEnd"/>
      <w:r>
        <w:rPr>
          <w:rFonts w:ascii="Arial" w:hAnsi="Arial"/>
          <w:color w:val="010000"/>
          <w:sz w:val="20"/>
        </w:rPr>
        <w:t xml:space="preserve"> Hiep Urban Residential Area, Hoang </w:t>
      </w:r>
      <w:proofErr w:type="spellStart"/>
      <w:r>
        <w:rPr>
          <w:rFonts w:ascii="Arial" w:hAnsi="Arial"/>
          <w:color w:val="010000"/>
          <w:sz w:val="20"/>
        </w:rPr>
        <w:t>Liet</w:t>
      </w:r>
      <w:proofErr w:type="spellEnd"/>
      <w:r>
        <w:rPr>
          <w:rFonts w:ascii="Arial" w:hAnsi="Arial"/>
          <w:color w:val="010000"/>
          <w:sz w:val="20"/>
        </w:rPr>
        <w:t xml:space="preserve"> Ward, Hoang Mai District, Hanoi, Vietnam</w:t>
      </w:r>
    </w:p>
    <w:p w14:paraId="5595500A"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Tel: 02466.863602</w:t>
      </w:r>
    </w:p>
    <w:p w14:paraId="5C2C63B3"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431,999,740,000 </w:t>
      </w:r>
    </w:p>
    <w:p w14:paraId="2DF9C297"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Securities code: SRA</w:t>
      </w:r>
    </w:p>
    <w:p w14:paraId="61AAD84C" w14:textId="77777777" w:rsidR="00C72F29" w:rsidRDefault="003842E3" w:rsidP="00277DDD">
      <w:pPr>
        <w:numPr>
          <w:ilvl w:val="0"/>
          <w:numId w:val="6"/>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7238B359" w14:textId="77777777" w:rsidR="00C72F29" w:rsidRDefault="003842E3" w:rsidP="00277DDD">
      <w:pPr>
        <w:numPr>
          <w:ilvl w:val="0"/>
          <w:numId w:val="7"/>
        </w:numPr>
        <w:pBdr>
          <w:top w:val="nil"/>
          <w:left w:val="nil"/>
          <w:bottom w:val="nil"/>
          <w:right w:val="nil"/>
          <w:between w:val="nil"/>
        </w:pBdr>
        <w:tabs>
          <w:tab w:val="left" w:pos="426"/>
          <w:tab w:val="left" w:pos="105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4455213" w14:textId="77777777" w:rsidR="00C72F29" w:rsidRDefault="003842E3" w:rsidP="00277DD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1566"/>
        <w:gridCol w:w="1319"/>
        <w:gridCol w:w="5289"/>
      </w:tblGrid>
      <w:tr w:rsidR="00C72F29" w14:paraId="43158E8B" w14:textId="77777777">
        <w:tc>
          <w:tcPr>
            <w:tcW w:w="845" w:type="dxa"/>
            <w:shd w:val="clear" w:color="auto" w:fill="auto"/>
            <w:tcMar>
              <w:top w:w="0" w:type="dxa"/>
              <w:bottom w:w="0" w:type="dxa"/>
            </w:tcMar>
            <w:vAlign w:val="center"/>
          </w:tcPr>
          <w:bookmarkEnd w:id="1"/>
          <w:p w14:paraId="726A5660"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566" w:type="dxa"/>
            <w:shd w:val="clear" w:color="auto" w:fill="auto"/>
            <w:tcMar>
              <w:top w:w="0" w:type="dxa"/>
              <w:bottom w:w="0" w:type="dxa"/>
            </w:tcMar>
            <w:vAlign w:val="center"/>
          </w:tcPr>
          <w:p w14:paraId="748098E8"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19" w:type="dxa"/>
            <w:shd w:val="clear" w:color="auto" w:fill="auto"/>
            <w:tcMar>
              <w:top w:w="0" w:type="dxa"/>
              <w:bottom w:w="0" w:type="dxa"/>
            </w:tcMar>
            <w:vAlign w:val="center"/>
          </w:tcPr>
          <w:p w14:paraId="0476FC30"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5289" w:type="dxa"/>
            <w:shd w:val="clear" w:color="auto" w:fill="auto"/>
            <w:tcMar>
              <w:top w:w="0" w:type="dxa"/>
              <w:bottom w:w="0" w:type="dxa"/>
            </w:tcMar>
            <w:vAlign w:val="center"/>
          </w:tcPr>
          <w:p w14:paraId="63B5734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Contents</w:t>
            </w:r>
          </w:p>
        </w:tc>
      </w:tr>
      <w:tr w:rsidR="00C72F29" w14:paraId="458C12BD" w14:textId="77777777">
        <w:tc>
          <w:tcPr>
            <w:tcW w:w="845" w:type="dxa"/>
            <w:shd w:val="clear" w:color="auto" w:fill="auto"/>
            <w:tcMar>
              <w:top w:w="0" w:type="dxa"/>
              <w:bottom w:w="0" w:type="dxa"/>
            </w:tcMar>
            <w:vAlign w:val="center"/>
          </w:tcPr>
          <w:p w14:paraId="2D0A331A"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566" w:type="dxa"/>
            <w:shd w:val="clear" w:color="auto" w:fill="auto"/>
            <w:tcMar>
              <w:top w:w="0" w:type="dxa"/>
              <w:bottom w:w="0" w:type="dxa"/>
            </w:tcMar>
            <w:vAlign w:val="center"/>
          </w:tcPr>
          <w:p w14:paraId="7B5746A8"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1606/2023/NQ-DHDCD</w:t>
            </w:r>
          </w:p>
        </w:tc>
        <w:tc>
          <w:tcPr>
            <w:tcW w:w="1319" w:type="dxa"/>
            <w:shd w:val="clear" w:color="auto" w:fill="auto"/>
            <w:tcMar>
              <w:top w:w="0" w:type="dxa"/>
              <w:bottom w:w="0" w:type="dxa"/>
            </w:tcMar>
            <w:vAlign w:val="center"/>
          </w:tcPr>
          <w:p w14:paraId="5E3E8F8B"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5289" w:type="dxa"/>
            <w:shd w:val="clear" w:color="auto" w:fill="auto"/>
            <w:tcMar>
              <w:top w:w="0" w:type="dxa"/>
              <w:bottom w:w="0" w:type="dxa"/>
            </w:tcMar>
            <w:vAlign w:val="center"/>
          </w:tcPr>
          <w:p w14:paraId="2115B2B8"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Meeting unanimously approves the following issues:</w:t>
            </w:r>
          </w:p>
          <w:p w14:paraId="587613E9"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operations of the Board of Directors in 2022</w:t>
            </w:r>
          </w:p>
          <w:p w14:paraId="44E6AE08"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w:t>
            </w:r>
          </w:p>
          <w:p w14:paraId="60AF4152" w14:textId="77777777" w:rsidR="00C72F29" w:rsidRDefault="003842E3">
            <w:pPr>
              <w:numPr>
                <w:ilvl w:val="0"/>
                <w:numId w:val="8"/>
              </w:numPr>
              <w:pBdr>
                <w:top w:val="nil"/>
                <w:left w:val="nil"/>
                <w:bottom w:val="nil"/>
                <w:right w:val="nil"/>
                <w:between w:val="nil"/>
              </w:pBdr>
              <w:tabs>
                <w:tab w:val="left" w:pos="154"/>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Management in 2022;</w:t>
            </w:r>
          </w:p>
          <w:p w14:paraId="3E69CD84"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01/2023/</w:t>
            </w:r>
            <w:proofErr w:type="spellStart"/>
            <w:r>
              <w:rPr>
                <w:rFonts w:ascii="Arial" w:hAnsi="Arial"/>
                <w:color w:val="010000"/>
                <w:sz w:val="20"/>
              </w:rPr>
              <w:t>TTr</w:t>
            </w:r>
            <w:proofErr w:type="spellEnd"/>
            <w:r>
              <w:rPr>
                <w:rFonts w:ascii="Arial" w:hAnsi="Arial"/>
                <w:color w:val="010000"/>
                <w:sz w:val="20"/>
              </w:rPr>
              <w:t>-HDQT on approving the Audited Financial Statements 2022;</w:t>
            </w:r>
          </w:p>
          <w:p w14:paraId="7BFE1BEA" w14:textId="77777777" w:rsidR="00C72F29" w:rsidRDefault="003842E3">
            <w:pPr>
              <w:numPr>
                <w:ilvl w:val="0"/>
                <w:numId w:val="8"/>
              </w:numPr>
              <w:pBdr>
                <w:top w:val="nil"/>
                <w:left w:val="nil"/>
                <w:bottom w:val="nil"/>
                <w:right w:val="nil"/>
                <w:between w:val="nil"/>
              </w:pBdr>
              <w:tabs>
                <w:tab w:val="left" w:pos="125"/>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02/2023/</w:t>
            </w:r>
            <w:proofErr w:type="spellStart"/>
            <w:r>
              <w:rPr>
                <w:rFonts w:ascii="Arial" w:hAnsi="Arial"/>
                <w:color w:val="010000"/>
                <w:sz w:val="20"/>
              </w:rPr>
              <w:t>TTr</w:t>
            </w:r>
            <w:proofErr w:type="spellEnd"/>
            <w:r>
              <w:rPr>
                <w:rFonts w:ascii="Arial" w:hAnsi="Arial"/>
                <w:color w:val="010000"/>
                <w:sz w:val="20"/>
              </w:rPr>
              <w:t>-HDQT on the business plan for 2023</w:t>
            </w:r>
          </w:p>
          <w:p w14:paraId="5E81CD7A" w14:textId="77777777" w:rsidR="00C72F29" w:rsidRDefault="003842E3">
            <w:pPr>
              <w:numPr>
                <w:ilvl w:val="0"/>
                <w:numId w:val="8"/>
              </w:numPr>
              <w:pBdr>
                <w:top w:val="nil"/>
                <w:left w:val="nil"/>
                <w:bottom w:val="nil"/>
                <w:right w:val="nil"/>
                <w:between w:val="nil"/>
              </w:pBdr>
              <w:tabs>
                <w:tab w:val="left" w:pos="154"/>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03/2023/</w:t>
            </w:r>
            <w:proofErr w:type="spellStart"/>
            <w:r>
              <w:rPr>
                <w:rFonts w:ascii="Arial" w:hAnsi="Arial"/>
                <w:color w:val="010000"/>
                <w:sz w:val="20"/>
              </w:rPr>
              <w:t>TTr</w:t>
            </w:r>
            <w:proofErr w:type="spellEnd"/>
            <w:r>
              <w:rPr>
                <w:rFonts w:ascii="Arial" w:hAnsi="Arial"/>
                <w:color w:val="010000"/>
                <w:sz w:val="20"/>
              </w:rPr>
              <w:t>-BKS on selecting an audit company for the Financial Statements 2023;</w:t>
            </w:r>
          </w:p>
          <w:p w14:paraId="34B4A9B2"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04/2023/</w:t>
            </w:r>
            <w:proofErr w:type="spellStart"/>
            <w:r>
              <w:rPr>
                <w:rFonts w:ascii="Arial" w:hAnsi="Arial"/>
                <w:color w:val="010000"/>
                <w:sz w:val="20"/>
              </w:rPr>
              <w:t>TTr</w:t>
            </w:r>
            <w:proofErr w:type="spellEnd"/>
            <w:r>
              <w:rPr>
                <w:rFonts w:ascii="Arial" w:hAnsi="Arial"/>
                <w:color w:val="010000"/>
                <w:sz w:val="20"/>
              </w:rPr>
              <w:t>-HDQT on the profit distribution in 2022;</w:t>
            </w:r>
          </w:p>
          <w:p w14:paraId="11DEEC7B"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05/2023/</w:t>
            </w:r>
            <w:proofErr w:type="spellStart"/>
            <w:r>
              <w:rPr>
                <w:rFonts w:ascii="Arial" w:hAnsi="Arial"/>
                <w:color w:val="010000"/>
                <w:sz w:val="20"/>
              </w:rPr>
              <w:t>TTr</w:t>
            </w:r>
            <w:proofErr w:type="spellEnd"/>
            <w:r>
              <w:rPr>
                <w:rFonts w:ascii="Arial" w:hAnsi="Arial"/>
                <w:color w:val="010000"/>
                <w:sz w:val="20"/>
              </w:rPr>
              <w:t xml:space="preserve">-HDQT </w:t>
            </w:r>
            <w:r>
              <w:rPr>
                <w:rFonts w:ascii="Arial" w:hAnsi="Arial"/>
                <w:color w:val="010000"/>
                <w:sz w:val="20"/>
              </w:rPr>
              <w:lastRenderedPageBreak/>
              <w:t>on the remuneration of the Board of Directors, Supervisory Board in 2022;</w:t>
            </w:r>
          </w:p>
          <w:p w14:paraId="3022E3DB" w14:textId="77777777" w:rsidR="00C72F29" w:rsidRDefault="003842E3">
            <w:pPr>
              <w:numPr>
                <w:ilvl w:val="0"/>
                <w:numId w:val="8"/>
              </w:numPr>
              <w:pBdr>
                <w:top w:val="nil"/>
                <w:left w:val="nil"/>
                <w:bottom w:val="nil"/>
                <w:right w:val="nil"/>
                <w:between w:val="nil"/>
              </w:pBdr>
              <w:tabs>
                <w:tab w:val="left" w:pos="130"/>
                <w:tab w:val="left" w:pos="426"/>
              </w:tabs>
              <w:spacing w:after="120" w:line="360" w:lineRule="auto"/>
              <w:rPr>
                <w:rFonts w:ascii="Arial" w:eastAsia="Arial" w:hAnsi="Arial" w:cs="Arial"/>
                <w:color w:val="010000"/>
                <w:sz w:val="20"/>
                <w:szCs w:val="20"/>
              </w:rPr>
            </w:pPr>
            <w:r>
              <w:rPr>
                <w:rFonts w:ascii="Arial" w:hAnsi="Arial"/>
                <w:color w:val="010000"/>
                <w:sz w:val="20"/>
              </w:rPr>
              <w:t>Approve the contents in Proposal No. 06/2023/</w:t>
            </w:r>
            <w:proofErr w:type="spellStart"/>
            <w:r>
              <w:rPr>
                <w:rFonts w:ascii="Arial" w:hAnsi="Arial"/>
                <w:color w:val="010000"/>
                <w:sz w:val="20"/>
              </w:rPr>
              <w:t>TTr</w:t>
            </w:r>
            <w:proofErr w:type="spellEnd"/>
            <w:r>
              <w:rPr>
                <w:rFonts w:ascii="Arial" w:hAnsi="Arial"/>
                <w:color w:val="010000"/>
                <w:sz w:val="20"/>
              </w:rPr>
              <w:t>-HDQT on stop implementing the plan on public offering approved at the Extraordinary General Meeting of Shareholders 2022 and the plan on private placement approved at the Annual General Meeting of Shareholders 2022.</w:t>
            </w:r>
          </w:p>
        </w:tc>
      </w:tr>
    </w:tbl>
    <w:p w14:paraId="29B7AFC2" w14:textId="4ADF10FF" w:rsidR="00C72F29" w:rsidRDefault="002C5C95">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06DE69D1" w14:textId="77777777" w:rsidR="00C72F29" w:rsidRDefault="003842E3">
      <w:pPr>
        <w:numPr>
          <w:ilvl w:val="0"/>
          <w:numId w:val="1"/>
        </w:numPr>
        <w:pBdr>
          <w:top w:val="nil"/>
          <w:left w:val="nil"/>
          <w:bottom w:val="nil"/>
          <w:right w:val="nil"/>
          <w:between w:val="nil"/>
        </w:pBdr>
        <w:tabs>
          <w:tab w:val="left" w:pos="358"/>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2365"/>
        <w:gridCol w:w="2412"/>
        <w:gridCol w:w="3588"/>
      </w:tblGrid>
      <w:tr w:rsidR="00C72F29" w14:paraId="0E432CB8" w14:textId="77777777">
        <w:tc>
          <w:tcPr>
            <w:tcW w:w="654" w:type="dxa"/>
            <w:shd w:val="clear" w:color="auto" w:fill="auto"/>
            <w:tcMar>
              <w:top w:w="0" w:type="dxa"/>
              <w:bottom w:w="0" w:type="dxa"/>
            </w:tcMar>
            <w:vAlign w:val="center"/>
          </w:tcPr>
          <w:p w14:paraId="1D8E1D3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365" w:type="dxa"/>
            <w:shd w:val="clear" w:color="auto" w:fill="auto"/>
            <w:tcMar>
              <w:top w:w="0" w:type="dxa"/>
              <w:bottom w:w="0" w:type="dxa"/>
            </w:tcMar>
            <w:vAlign w:val="center"/>
          </w:tcPr>
          <w:p w14:paraId="700399D9"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12" w:type="dxa"/>
            <w:shd w:val="clear" w:color="auto" w:fill="auto"/>
            <w:tcMar>
              <w:top w:w="0" w:type="dxa"/>
              <w:bottom w:w="0" w:type="dxa"/>
            </w:tcMar>
            <w:vAlign w:val="center"/>
          </w:tcPr>
          <w:p w14:paraId="553215FD"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588" w:type="dxa"/>
            <w:shd w:val="clear" w:color="auto" w:fill="auto"/>
            <w:tcMar>
              <w:top w:w="0" w:type="dxa"/>
              <w:bottom w:w="0" w:type="dxa"/>
            </w:tcMar>
            <w:vAlign w:val="center"/>
          </w:tcPr>
          <w:p w14:paraId="7D8263F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C72F29" w14:paraId="685B5D73" w14:textId="77777777">
        <w:tc>
          <w:tcPr>
            <w:tcW w:w="654" w:type="dxa"/>
            <w:shd w:val="clear" w:color="auto" w:fill="auto"/>
            <w:tcMar>
              <w:top w:w="0" w:type="dxa"/>
              <w:bottom w:w="0" w:type="dxa"/>
            </w:tcMar>
            <w:vAlign w:val="center"/>
          </w:tcPr>
          <w:p w14:paraId="421744B8"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365" w:type="dxa"/>
            <w:shd w:val="clear" w:color="auto" w:fill="auto"/>
            <w:tcMar>
              <w:top w:w="0" w:type="dxa"/>
              <w:bottom w:w="0" w:type="dxa"/>
            </w:tcMar>
            <w:vAlign w:val="center"/>
          </w:tcPr>
          <w:p w14:paraId="11B41153"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Hoang Van Ba</w:t>
            </w:r>
          </w:p>
        </w:tc>
        <w:tc>
          <w:tcPr>
            <w:tcW w:w="2412" w:type="dxa"/>
            <w:shd w:val="clear" w:color="auto" w:fill="auto"/>
            <w:tcMar>
              <w:top w:w="0" w:type="dxa"/>
              <w:bottom w:w="0" w:type="dxa"/>
            </w:tcMar>
            <w:vAlign w:val="center"/>
          </w:tcPr>
          <w:p w14:paraId="440965C2"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88" w:type="dxa"/>
            <w:shd w:val="clear" w:color="auto" w:fill="auto"/>
            <w:tcMar>
              <w:top w:w="0" w:type="dxa"/>
              <w:bottom w:w="0" w:type="dxa"/>
            </w:tcMar>
            <w:vAlign w:val="center"/>
          </w:tcPr>
          <w:p w14:paraId="37919DB1"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r>
      <w:tr w:rsidR="00C72F29" w14:paraId="1759F5EE" w14:textId="77777777">
        <w:tc>
          <w:tcPr>
            <w:tcW w:w="654" w:type="dxa"/>
            <w:shd w:val="clear" w:color="auto" w:fill="auto"/>
            <w:tcMar>
              <w:top w:w="0" w:type="dxa"/>
              <w:bottom w:w="0" w:type="dxa"/>
            </w:tcMar>
            <w:vAlign w:val="center"/>
          </w:tcPr>
          <w:p w14:paraId="141CEFEE"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365" w:type="dxa"/>
            <w:shd w:val="clear" w:color="auto" w:fill="auto"/>
            <w:tcMar>
              <w:top w:w="0" w:type="dxa"/>
              <w:bottom w:w="0" w:type="dxa"/>
            </w:tcMar>
            <w:vAlign w:val="center"/>
          </w:tcPr>
          <w:p w14:paraId="352D2732"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Kazuya </w:t>
            </w:r>
            <w:proofErr w:type="spellStart"/>
            <w:r>
              <w:rPr>
                <w:rFonts w:ascii="Arial" w:hAnsi="Arial"/>
                <w:color w:val="010000"/>
                <w:sz w:val="20"/>
              </w:rPr>
              <w:t>Krino</w:t>
            </w:r>
            <w:proofErr w:type="spellEnd"/>
          </w:p>
        </w:tc>
        <w:tc>
          <w:tcPr>
            <w:tcW w:w="2412" w:type="dxa"/>
            <w:shd w:val="clear" w:color="auto" w:fill="auto"/>
            <w:tcMar>
              <w:top w:w="0" w:type="dxa"/>
              <w:bottom w:w="0" w:type="dxa"/>
            </w:tcMar>
            <w:vAlign w:val="center"/>
          </w:tcPr>
          <w:p w14:paraId="204589AD"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88" w:type="dxa"/>
            <w:shd w:val="clear" w:color="auto" w:fill="auto"/>
            <w:tcMar>
              <w:top w:w="0" w:type="dxa"/>
              <w:bottom w:w="0" w:type="dxa"/>
            </w:tcMar>
            <w:vAlign w:val="center"/>
          </w:tcPr>
          <w:p w14:paraId="26BF638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r>
      <w:tr w:rsidR="00C72F29" w14:paraId="350459A5" w14:textId="77777777">
        <w:tc>
          <w:tcPr>
            <w:tcW w:w="654" w:type="dxa"/>
            <w:shd w:val="clear" w:color="auto" w:fill="auto"/>
            <w:tcMar>
              <w:top w:w="0" w:type="dxa"/>
              <w:bottom w:w="0" w:type="dxa"/>
            </w:tcMar>
            <w:vAlign w:val="center"/>
          </w:tcPr>
          <w:p w14:paraId="713C74AA"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2365" w:type="dxa"/>
            <w:shd w:val="clear" w:color="auto" w:fill="auto"/>
            <w:tcMar>
              <w:top w:w="0" w:type="dxa"/>
              <w:bottom w:w="0" w:type="dxa"/>
            </w:tcMar>
            <w:vAlign w:val="center"/>
          </w:tcPr>
          <w:p w14:paraId="3754895B"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Minh Tam</w:t>
            </w:r>
          </w:p>
        </w:tc>
        <w:tc>
          <w:tcPr>
            <w:tcW w:w="2412" w:type="dxa"/>
            <w:shd w:val="clear" w:color="auto" w:fill="auto"/>
            <w:tcMar>
              <w:top w:w="0" w:type="dxa"/>
              <w:bottom w:w="0" w:type="dxa"/>
            </w:tcMar>
            <w:vAlign w:val="center"/>
          </w:tcPr>
          <w:p w14:paraId="41263B9B"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88" w:type="dxa"/>
            <w:shd w:val="clear" w:color="auto" w:fill="auto"/>
            <w:tcMar>
              <w:top w:w="0" w:type="dxa"/>
              <w:bottom w:w="0" w:type="dxa"/>
            </w:tcMar>
            <w:vAlign w:val="center"/>
          </w:tcPr>
          <w:p w14:paraId="72C9711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r>
    </w:tbl>
    <w:p w14:paraId="02EFE424" w14:textId="77777777" w:rsidR="00C72F29" w:rsidRDefault="003842E3">
      <w:pPr>
        <w:numPr>
          <w:ilvl w:val="0"/>
          <w:numId w:val="1"/>
        </w:numPr>
        <w:pBdr>
          <w:top w:val="nil"/>
          <w:left w:val="nil"/>
          <w:bottom w:val="nil"/>
          <w:right w:val="nil"/>
          <w:between w:val="nil"/>
        </w:pBdr>
        <w:tabs>
          <w:tab w:val="left" w:pos="358"/>
          <w:tab w:val="left" w:pos="426"/>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2848"/>
        <w:gridCol w:w="1297"/>
        <w:gridCol w:w="4192"/>
      </w:tblGrid>
      <w:tr w:rsidR="00C72F29" w14:paraId="7A061E64" w14:textId="77777777">
        <w:tc>
          <w:tcPr>
            <w:tcW w:w="682" w:type="dxa"/>
            <w:shd w:val="clear" w:color="auto" w:fill="auto"/>
            <w:tcMar>
              <w:top w:w="0" w:type="dxa"/>
              <w:bottom w:w="0" w:type="dxa"/>
            </w:tcMar>
            <w:vAlign w:val="center"/>
          </w:tcPr>
          <w:p w14:paraId="480FDA59"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848" w:type="dxa"/>
            <w:shd w:val="clear" w:color="auto" w:fill="auto"/>
            <w:tcMar>
              <w:top w:w="0" w:type="dxa"/>
              <w:bottom w:w="0" w:type="dxa"/>
            </w:tcMar>
            <w:vAlign w:val="center"/>
          </w:tcPr>
          <w:p w14:paraId="233854B0"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297" w:type="dxa"/>
            <w:shd w:val="clear" w:color="auto" w:fill="auto"/>
            <w:tcMar>
              <w:top w:w="0" w:type="dxa"/>
              <w:bottom w:w="0" w:type="dxa"/>
            </w:tcMar>
            <w:vAlign w:val="center"/>
          </w:tcPr>
          <w:p w14:paraId="4315B1F0"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4192" w:type="dxa"/>
            <w:shd w:val="clear" w:color="auto" w:fill="auto"/>
            <w:tcMar>
              <w:top w:w="0" w:type="dxa"/>
              <w:bottom w:w="0" w:type="dxa"/>
            </w:tcMar>
            <w:vAlign w:val="center"/>
          </w:tcPr>
          <w:p w14:paraId="3258216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Contents</w:t>
            </w:r>
          </w:p>
        </w:tc>
      </w:tr>
      <w:tr w:rsidR="00C72F29" w14:paraId="05B50E4A"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8E873"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8A6303"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0501/2023/NQ-HDQT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053EC2"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457C0E"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Loan and use assets as collateral at joint stock commercial banks</w:t>
            </w:r>
          </w:p>
        </w:tc>
      </w:tr>
      <w:tr w:rsidR="003842E3" w14:paraId="379E3EE0"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F5D21"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849308" w14:textId="66DDC79B"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2703/2023/NQ-HDQT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095DCC"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5FFDF5" w14:textId="1A51899F"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Extend the time to hold the General Meeting of Shareholders 2023</w:t>
            </w:r>
          </w:p>
        </w:tc>
      </w:tr>
      <w:tr w:rsidR="003842E3" w14:paraId="2A2BF18E"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EF893"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F307EE"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1904/2023/NQ-HDQT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83F7D9"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C81720"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Plan to organize the Annual General Meeting of Shareholders 2023</w:t>
            </w:r>
          </w:p>
        </w:tc>
      </w:tr>
      <w:tr w:rsidR="003842E3" w14:paraId="556098B9"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DEA0A3"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57510"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1606/2023/NQ-DHDCD</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28DDB9"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CEE62A"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3842E3" w14:paraId="611089F9"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CFC546"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D006FD"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1807/2023/NQ-HDQT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A8FBCA"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D05317"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approving the transfer of all capital contributions at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Osaka High-tech Equipment Manufacturing Joint Stock Company (tentatively translated)</w:t>
            </w:r>
          </w:p>
        </w:tc>
      </w:tr>
      <w:tr w:rsidR="003842E3" w14:paraId="459AC5DA"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9EF85"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B6A7E5"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1707/2023/NQ-HDQT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3C938"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5B38B2"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approving the transfer of all capital contributions at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Osaka High-tech </w:t>
            </w:r>
            <w:r>
              <w:rPr>
                <w:rFonts w:ascii="Arial" w:hAnsi="Arial"/>
                <w:color w:val="010000"/>
                <w:sz w:val="20"/>
              </w:rPr>
              <w:lastRenderedPageBreak/>
              <w:t>Equipment Manufacturing Joint Stock Company (tentatively translated)</w:t>
            </w:r>
          </w:p>
        </w:tc>
      </w:tr>
      <w:tr w:rsidR="003842E3" w14:paraId="7A64B235"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A51715"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736722"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1707.1/2023/NQ-HDQT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484968"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5149D"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Contribute additional capital to Vietnam Japan Production Joint Stock Company (tentatively translated)</w:t>
            </w:r>
          </w:p>
        </w:tc>
      </w:tr>
      <w:tr w:rsidR="003842E3" w14:paraId="5CF79DBA"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5A008"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90149"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1907/2023/NQ-HDQT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A33812"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AAC941" w14:textId="330A458D"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Contribute additional capital to Ha Long Osaka Production of High-tech Equipment Joint Stock Company</w:t>
            </w:r>
          </w:p>
        </w:tc>
      </w:tr>
      <w:tr w:rsidR="003842E3" w14:paraId="5F224DAD"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6ABD9E"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91017"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0709/2023/NQ-HDQT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B3D50"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07,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9C02C0"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approving the transfer of all capital contributions at Healthcare </w:t>
            </w:r>
            <w:proofErr w:type="spellStart"/>
            <w:r>
              <w:rPr>
                <w:rFonts w:ascii="Arial" w:hAnsi="Arial"/>
                <w:color w:val="010000"/>
                <w:sz w:val="20"/>
              </w:rPr>
              <w:t>Vung</w:t>
            </w:r>
            <w:proofErr w:type="spellEnd"/>
            <w:r>
              <w:rPr>
                <w:rFonts w:ascii="Arial" w:hAnsi="Arial"/>
                <w:color w:val="010000"/>
                <w:sz w:val="20"/>
              </w:rPr>
              <w:t xml:space="preserve"> Tau Clinic Joint Stock Company and Vietnam - Osaka Clinic Joint Stock Company</w:t>
            </w:r>
          </w:p>
        </w:tc>
      </w:tr>
      <w:tr w:rsidR="003842E3" w14:paraId="6E123BAC" w14:textId="77777777">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0ABC17"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DE9AD1"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0709.01/2023/NQ-HDQT</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E6234F"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07, 2023</w:t>
            </w:r>
          </w:p>
        </w:tc>
        <w:tc>
          <w:tcPr>
            <w:tcW w:w="4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5704F" w14:textId="77777777" w:rsidR="003842E3" w:rsidRDefault="003842E3" w:rsidP="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On: Contribute additional capital to Vietnam Japan Production Joint Stock Company (tentatively translated)</w:t>
            </w:r>
          </w:p>
        </w:tc>
      </w:tr>
    </w:tbl>
    <w:p w14:paraId="4C881F6F" w14:textId="77777777" w:rsidR="00C72F29" w:rsidRDefault="003842E3">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1D2AB92C" w14:textId="77777777" w:rsidR="00C72F29" w:rsidRDefault="003842E3">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068"/>
        <w:gridCol w:w="1742"/>
        <w:gridCol w:w="2556"/>
        <w:gridCol w:w="2008"/>
      </w:tblGrid>
      <w:tr w:rsidR="00C72F29" w14:paraId="12A7C725" w14:textId="77777777">
        <w:tc>
          <w:tcPr>
            <w:tcW w:w="645" w:type="dxa"/>
            <w:shd w:val="clear" w:color="auto" w:fill="auto"/>
            <w:tcMar>
              <w:top w:w="0" w:type="dxa"/>
              <w:bottom w:w="0" w:type="dxa"/>
            </w:tcMar>
            <w:vAlign w:val="center"/>
          </w:tcPr>
          <w:p w14:paraId="0B0E8A4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068" w:type="dxa"/>
            <w:shd w:val="clear" w:color="auto" w:fill="auto"/>
            <w:tcMar>
              <w:top w:w="0" w:type="dxa"/>
              <w:bottom w:w="0" w:type="dxa"/>
            </w:tcMar>
            <w:vAlign w:val="center"/>
          </w:tcPr>
          <w:p w14:paraId="47DB8F99"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42" w:type="dxa"/>
            <w:shd w:val="clear" w:color="auto" w:fill="auto"/>
            <w:tcMar>
              <w:top w:w="0" w:type="dxa"/>
              <w:bottom w:w="0" w:type="dxa"/>
            </w:tcMar>
            <w:vAlign w:val="center"/>
          </w:tcPr>
          <w:p w14:paraId="4D20B733"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2556" w:type="dxa"/>
            <w:shd w:val="clear" w:color="auto" w:fill="auto"/>
            <w:tcMar>
              <w:top w:w="0" w:type="dxa"/>
              <w:bottom w:w="0" w:type="dxa"/>
            </w:tcMar>
            <w:vAlign w:val="center"/>
          </w:tcPr>
          <w:p w14:paraId="7B20F87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008" w:type="dxa"/>
            <w:shd w:val="clear" w:color="auto" w:fill="auto"/>
            <w:tcMar>
              <w:top w:w="0" w:type="dxa"/>
              <w:bottom w:w="0" w:type="dxa"/>
            </w:tcMar>
            <w:vAlign w:val="center"/>
          </w:tcPr>
          <w:p w14:paraId="3AE8DE5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72F29" w14:paraId="15ABA348" w14:textId="77777777">
        <w:tc>
          <w:tcPr>
            <w:tcW w:w="645" w:type="dxa"/>
            <w:shd w:val="clear" w:color="auto" w:fill="auto"/>
            <w:tcMar>
              <w:top w:w="0" w:type="dxa"/>
              <w:bottom w:w="0" w:type="dxa"/>
            </w:tcMar>
            <w:vAlign w:val="center"/>
          </w:tcPr>
          <w:p w14:paraId="498F87BE"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068" w:type="dxa"/>
            <w:shd w:val="clear" w:color="auto" w:fill="auto"/>
            <w:tcMar>
              <w:top w:w="0" w:type="dxa"/>
              <w:bottom w:w="0" w:type="dxa"/>
            </w:tcMar>
            <w:vAlign w:val="center"/>
          </w:tcPr>
          <w:p w14:paraId="225771CC"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Trinh Thi </w:t>
            </w:r>
            <w:proofErr w:type="spellStart"/>
            <w:r>
              <w:rPr>
                <w:rFonts w:ascii="Arial" w:hAnsi="Arial"/>
                <w:color w:val="010000"/>
                <w:sz w:val="20"/>
              </w:rPr>
              <w:t>Duyen</w:t>
            </w:r>
            <w:proofErr w:type="spellEnd"/>
          </w:p>
        </w:tc>
        <w:tc>
          <w:tcPr>
            <w:tcW w:w="1742" w:type="dxa"/>
            <w:shd w:val="clear" w:color="auto" w:fill="auto"/>
            <w:tcMar>
              <w:top w:w="0" w:type="dxa"/>
              <w:bottom w:w="0" w:type="dxa"/>
            </w:tcMar>
            <w:vAlign w:val="center"/>
          </w:tcPr>
          <w:p w14:paraId="0FB5568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56" w:type="dxa"/>
            <w:shd w:val="clear" w:color="auto" w:fill="auto"/>
            <w:tcMar>
              <w:top w:w="0" w:type="dxa"/>
              <w:bottom w:w="0" w:type="dxa"/>
            </w:tcMar>
            <w:vAlign w:val="center"/>
          </w:tcPr>
          <w:p w14:paraId="3AC66F4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008" w:type="dxa"/>
            <w:shd w:val="clear" w:color="auto" w:fill="auto"/>
            <w:tcMar>
              <w:top w:w="0" w:type="dxa"/>
              <w:bottom w:w="0" w:type="dxa"/>
            </w:tcMar>
            <w:vAlign w:val="center"/>
          </w:tcPr>
          <w:p w14:paraId="69A90EDA"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C72F29" w14:paraId="55761D22" w14:textId="77777777">
        <w:tc>
          <w:tcPr>
            <w:tcW w:w="645" w:type="dxa"/>
            <w:shd w:val="clear" w:color="auto" w:fill="auto"/>
            <w:tcMar>
              <w:top w:w="0" w:type="dxa"/>
              <w:bottom w:w="0" w:type="dxa"/>
            </w:tcMar>
            <w:vAlign w:val="center"/>
          </w:tcPr>
          <w:p w14:paraId="74A3ABB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068" w:type="dxa"/>
            <w:shd w:val="clear" w:color="auto" w:fill="auto"/>
            <w:tcMar>
              <w:top w:w="0" w:type="dxa"/>
              <w:bottom w:w="0" w:type="dxa"/>
            </w:tcMar>
            <w:vAlign w:val="center"/>
          </w:tcPr>
          <w:p w14:paraId="45FF6BEA"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Dau</w:t>
            </w:r>
            <w:proofErr w:type="spellEnd"/>
            <w:r>
              <w:rPr>
                <w:rFonts w:ascii="Arial" w:hAnsi="Arial"/>
                <w:color w:val="010000"/>
                <w:sz w:val="20"/>
              </w:rPr>
              <w:t xml:space="preserve"> Thi Lieu</w:t>
            </w:r>
          </w:p>
        </w:tc>
        <w:tc>
          <w:tcPr>
            <w:tcW w:w="1742" w:type="dxa"/>
            <w:shd w:val="clear" w:color="auto" w:fill="auto"/>
            <w:tcMar>
              <w:top w:w="0" w:type="dxa"/>
              <w:bottom w:w="0" w:type="dxa"/>
            </w:tcMar>
            <w:vAlign w:val="center"/>
          </w:tcPr>
          <w:p w14:paraId="72DBC12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56" w:type="dxa"/>
            <w:shd w:val="clear" w:color="auto" w:fill="auto"/>
            <w:tcMar>
              <w:top w:w="0" w:type="dxa"/>
              <w:bottom w:w="0" w:type="dxa"/>
            </w:tcMar>
            <w:vAlign w:val="center"/>
          </w:tcPr>
          <w:p w14:paraId="738DEA81"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008" w:type="dxa"/>
            <w:shd w:val="clear" w:color="auto" w:fill="auto"/>
            <w:tcMar>
              <w:top w:w="0" w:type="dxa"/>
              <w:bottom w:w="0" w:type="dxa"/>
            </w:tcMar>
            <w:vAlign w:val="center"/>
          </w:tcPr>
          <w:p w14:paraId="266A421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C72F29" w14:paraId="74F72E7C" w14:textId="77777777">
        <w:tc>
          <w:tcPr>
            <w:tcW w:w="645" w:type="dxa"/>
            <w:shd w:val="clear" w:color="auto" w:fill="auto"/>
            <w:tcMar>
              <w:top w:w="0" w:type="dxa"/>
              <w:bottom w:w="0" w:type="dxa"/>
            </w:tcMar>
            <w:vAlign w:val="center"/>
          </w:tcPr>
          <w:p w14:paraId="2F4884B5"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2068" w:type="dxa"/>
            <w:shd w:val="clear" w:color="auto" w:fill="auto"/>
            <w:tcMar>
              <w:top w:w="0" w:type="dxa"/>
              <w:bottom w:w="0" w:type="dxa"/>
            </w:tcMar>
            <w:vAlign w:val="center"/>
          </w:tcPr>
          <w:p w14:paraId="0C17E80D"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Vu Thi Kim </w:t>
            </w:r>
            <w:proofErr w:type="spellStart"/>
            <w:r>
              <w:rPr>
                <w:rFonts w:ascii="Arial" w:hAnsi="Arial"/>
                <w:color w:val="010000"/>
                <w:sz w:val="20"/>
              </w:rPr>
              <w:t>Ngan</w:t>
            </w:r>
            <w:proofErr w:type="spellEnd"/>
            <w:r>
              <w:rPr>
                <w:rFonts w:ascii="Arial" w:hAnsi="Arial"/>
                <w:color w:val="010000"/>
                <w:sz w:val="20"/>
              </w:rPr>
              <w:t xml:space="preserve"> </w:t>
            </w:r>
          </w:p>
        </w:tc>
        <w:tc>
          <w:tcPr>
            <w:tcW w:w="1742" w:type="dxa"/>
            <w:shd w:val="clear" w:color="auto" w:fill="auto"/>
            <w:tcMar>
              <w:top w:w="0" w:type="dxa"/>
              <w:bottom w:w="0" w:type="dxa"/>
            </w:tcMar>
            <w:vAlign w:val="center"/>
          </w:tcPr>
          <w:p w14:paraId="0C2DFB7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56" w:type="dxa"/>
            <w:shd w:val="clear" w:color="auto" w:fill="auto"/>
            <w:tcMar>
              <w:top w:w="0" w:type="dxa"/>
              <w:bottom w:w="0" w:type="dxa"/>
            </w:tcMar>
            <w:vAlign w:val="center"/>
          </w:tcPr>
          <w:p w14:paraId="5B14B54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008" w:type="dxa"/>
            <w:shd w:val="clear" w:color="auto" w:fill="auto"/>
            <w:tcMar>
              <w:top w:w="0" w:type="dxa"/>
              <w:bottom w:w="0" w:type="dxa"/>
            </w:tcMar>
            <w:vAlign w:val="center"/>
          </w:tcPr>
          <w:p w14:paraId="447C7090"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9BF33A6" w14:textId="77777777" w:rsidR="00C72F29" w:rsidRDefault="003842E3">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60"/>
        <w:gridCol w:w="1497"/>
        <w:gridCol w:w="1714"/>
        <w:gridCol w:w="2884"/>
      </w:tblGrid>
      <w:tr w:rsidR="00C72F29" w14:paraId="725CF0D7" w14:textId="77777777">
        <w:tc>
          <w:tcPr>
            <w:tcW w:w="664" w:type="dxa"/>
            <w:shd w:val="clear" w:color="auto" w:fill="auto"/>
            <w:tcMar>
              <w:top w:w="0" w:type="dxa"/>
              <w:bottom w:w="0" w:type="dxa"/>
            </w:tcMar>
            <w:vAlign w:val="center"/>
          </w:tcPr>
          <w:p w14:paraId="472D30A9"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260" w:type="dxa"/>
            <w:shd w:val="clear" w:color="auto" w:fill="auto"/>
            <w:tcMar>
              <w:top w:w="0" w:type="dxa"/>
              <w:bottom w:w="0" w:type="dxa"/>
            </w:tcMar>
            <w:vAlign w:val="center"/>
          </w:tcPr>
          <w:p w14:paraId="2BB09691"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97" w:type="dxa"/>
            <w:shd w:val="clear" w:color="auto" w:fill="auto"/>
            <w:tcMar>
              <w:top w:w="0" w:type="dxa"/>
              <w:bottom w:w="0" w:type="dxa"/>
            </w:tcMar>
            <w:vAlign w:val="center"/>
          </w:tcPr>
          <w:p w14:paraId="308D03FB"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14" w:type="dxa"/>
            <w:shd w:val="clear" w:color="auto" w:fill="auto"/>
            <w:tcMar>
              <w:top w:w="0" w:type="dxa"/>
              <w:bottom w:w="0" w:type="dxa"/>
            </w:tcMar>
            <w:vAlign w:val="center"/>
          </w:tcPr>
          <w:p w14:paraId="2CDE7CB7" w14:textId="77777777" w:rsidR="00C72F29" w:rsidRDefault="003842E3">
            <w:pPr>
              <w:pBdr>
                <w:top w:val="nil"/>
                <w:left w:val="nil"/>
                <w:bottom w:val="nil"/>
                <w:right w:val="nil"/>
                <w:between w:val="nil"/>
              </w:pBdr>
              <w:tabs>
                <w:tab w:val="left" w:pos="426"/>
                <w:tab w:val="left" w:pos="1285"/>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84" w:type="dxa"/>
            <w:shd w:val="clear" w:color="auto" w:fill="auto"/>
            <w:tcMar>
              <w:top w:w="0" w:type="dxa"/>
              <w:bottom w:w="0" w:type="dxa"/>
            </w:tcMar>
            <w:vAlign w:val="center"/>
          </w:tcPr>
          <w:p w14:paraId="6E634BB9"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72F29" w14:paraId="26D93807" w14:textId="77777777">
        <w:tc>
          <w:tcPr>
            <w:tcW w:w="664" w:type="dxa"/>
            <w:shd w:val="clear" w:color="auto" w:fill="auto"/>
            <w:tcMar>
              <w:top w:w="0" w:type="dxa"/>
              <w:bottom w:w="0" w:type="dxa"/>
            </w:tcMar>
            <w:vAlign w:val="center"/>
          </w:tcPr>
          <w:p w14:paraId="7290530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260" w:type="dxa"/>
            <w:shd w:val="clear" w:color="auto" w:fill="auto"/>
            <w:tcMar>
              <w:top w:w="0" w:type="dxa"/>
              <w:bottom w:w="0" w:type="dxa"/>
            </w:tcMar>
            <w:vAlign w:val="center"/>
          </w:tcPr>
          <w:p w14:paraId="25CE152D"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Minh Tam</w:t>
            </w:r>
          </w:p>
        </w:tc>
        <w:tc>
          <w:tcPr>
            <w:tcW w:w="1497" w:type="dxa"/>
            <w:shd w:val="clear" w:color="auto" w:fill="auto"/>
            <w:tcMar>
              <w:top w:w="0" w:type="dxa"/>
              <w:bottom w:w="0" w:type="dxa"/>
            </w:tcMar>
            <w:vAlign w:val="center"/>
          </w:tcPr>
          <w:p w14:paraId="6E0F2CE5"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07, 1992</w:t>
            </w:r>
          </w:p>
        </w:tc>
        <w:tc>
          <w:tcPr>
            <w:tcW w:w="1714" w:type="dxa"/>
            <w:shd w:val="clear" w:color="auto" w:fill="auto"/>
            <w:tcMar>
              <w:top w:w="0" w:type="dxa"/>
              <w:bottom w:w="0" w:type="dxa"/>
            </w:tcMar>
            <w:vAlign w:val="center"/>
          </w:tcPr>
          <w:p w14:paraId="573A4D51"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w:t>
            </w:r>
          </w:p>
        </w:tc>
        <w:tc>
          <w:tcPr>
            <w:tcW w:w="2884" w:type="dxa"/>
            <w:shd w:val="clear" w:color="auto" w:fill="auto"/>
            <w:tcMar>
              <w:top w:w="0" w:type="dxa"/>
              <w:bottom w:w="0" w:type="dxa"/>
            </w:tcMar>
            <w:vAlign w:val="center"/>
          </w:tcPr>
          <w:p w14:paraId="72B50DA4"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 July 06, 2021</w:t>
            </w:r>
          </w:p>
        </w:tc>
      </w:tr>
    </w:tbl>
    <w:p w14:paraId="76472A4C" w14:textId="77777777" w:rsidR="00C72F29" w:rsidRDefault="003842E3">
      <w:pPr>
        <w:numPr>
          <w:ilvl w:val="0"/>
          <w:numId w:val="7"/>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2278"/>
        <w:gridCol w:w="1349"/>
        <w:gridCol w:w="1750"/>
        <w:gridCol w:w="2940"/>
      </w:tblGrid>
      <w:tr w:rsidR="00C72F29" w14:paraId="4FEA4529" w14:textId="77777777">
        <w:tc>
          <w:tcPr>
            <w:tcW w:w="702" w:type="dxa"/>
            <w:shd w:val="clear" w:color="auto" w:fill="auto"/>
            <w:tcMar>
              <w:top w:w="0" w:type="dxa"/>
              <w:bottom w:w="0" w:type="dxa"/>
            </w:tcMar>
            <w:vAlign w:val="center"/>
          </w:tcPr>
          <w:p w14:paraId="232EA9E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278" w:type="dxa"/>
            <w:shd w:val="clear" w:color="auto" w:fill="auto"/>
            <w:tcMar>
              <w:top w:w="0" w:type="dxa"/>
              <w:bottom w:w="0" w:type="dxa"/>
            </w:tcMar>
            <w:vAlign w:val="center"/>
          </w:tcPr>
          <w:p w14:paraId="503A0745"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Full name</w:t>
            </w:r>
          </w:p>
        </w:tc>
        <w:tc>
          <w:tcPr>
            <w:tcW w:w="1349" w:type="dxa"/>
            <w:shd w:val="clear" w:color="auto" w:fill="auto"/>
            <w:tcMar>
              <w:top w:w="0" w:type="dxa"/>
              <w:bottom w:w="0" w:type="dxa"/>
            </w:tcMar>
            <w:vAlign w:val="center"/>
          </w:tcPr>
          <w:p w14:paraId="5D35CCEA"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50" w:type="dxa"/>
            <w:shd w:val="clear" w:color="auto" w:fill="auto"/>
            <w:tcMar>
              <w:top w:w="0" w:type="dxa"/>
              <w:bottom w:w="0" w:type="dxa"/>
            </w:tcMar>
            <w:vAlign w:val="center"/>
          </w:tcPr>
          <w:p w14:paraId="74030798" w14:textId="77777777" w:rsidR="00C72F29" w:rsidRDefault="003842E3">
            <w:pPr>
              <w:pBdr>
                <w:top w:val="nil"/>
                <w:left w:val="nil"/>
                <w:bottom w:val="nil"/>
                <w:right w:val="nil"/>
                <w:between w:val="nil"/>
              </w:pBdr>
              <w:tabs>
                <w:tab w:val="left" w:pos="426"/>
                <w:tab w:val="left" w:pos="1314"/>
              </w:tabs>
              <w:spacing w:after="120" w:line="360" w:lineRule="auto"/>
              <w:rPr>
                <w:rFonts w:ascii="Arial" w:eastAsia="Arial" w:hAnsi="Arial" w:cs="Arial"/>
                <w:color w:val="010000"/>
                <w:sz w:val="20"/>
                <w:szCs w:val="20"/>
              </w:rPr>
            </w:pPr>
            <w:r>
              <w:rPr>
                <w:rFonts w:ascii="Arial" w:hAnsi="Arial"/>
                <w:color w:val="010000"/>
                <w:sz w:val="20"/>
              </w:rPr>
              <w:t xml:space="preserve">Professional </w:t>
            </w:r>
            <w:r>
              <w:rPr>
                <w:rFonts w:ascii="Arial" w:hAnsi="Arial"/>
                <w:color w:val="010000"/>
                <w:sz w:val="20"/>
              </w:rPr>
              <w:lastRenderedPageBreak/>
              <w:t>Qualification</w:t>
            </w:r>
          </w:p>
        </w:tc>
        <w:tc>
          <w:tcPr>
            <w:tcW w:w="2940" w:type="dxa"/>
            <w:shd w:val="clear" w:color="auto" w:fill="auto"/>
            <w:tcMar>
              <w:top w:w="0" w:type="dxa"/>
              <w:bottom w:w="0" w:type="dxa"/>
            </w:tcMar>
            <w:vAlign w:val="center"/>
          </w:tcPr>
          <w:p w14:paraId="33474336"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 /dismissal</w:t>
            </w:r>
          </w:p>
        </w:tc>
      </w:tr>
      <w:tr w:rsidR="00C72F29" w14:paraId="0DCB24E1" w14:textId="77777777">
        <w:tc>
          <w:tcPr>
            <w:tcW w:w="702" w:type="dxa"/>
            <w:shd w:val="clear" w:color="auto" w:fill="auto"/>
            <w:tcMar>
              <w:top w:w="0" w:type="dxa"/>
              <w:bottom w:w="0" w:type="dxa"/>
            </w:tcMar>
            <w:vAlign w:val="center"/>
          </w:tcPr>
          <w:p w14:paraId="696C07DD"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278" w:type="dxa"/>
            <w:shd w:val="clear" w:color="auto" w:fill="auto"/>
            <w:tcMar>
              <w:top w:w="0" w:type="dxa"/>
              <w:bottom w:w="0" w:type="dxa"/>
            </w:tcMar>
            <w:vAlign w:val="center"/>
          </w:tcPr>
          <w:p w14:paraId="70769E8C"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Thi Bich Ngoc</w:t>
            </w:r>
          </w:p>
        </w:tc>
        <w:tc>
          <w:tcPr>
            <w:tcW w:w="1349" w:type="dxa"/>
            <w:shd w:val="clear" w:color="auto" w:fill="auto"/>
            <w:tcMar>
              <w:top w:w="0" w:type="dxa"/>
              <w:bottom w:w="0" w:type="dxa"/>
            </w:tcMar>
            <w:vAlign w:val="center"/>
          </w:tcPr>
          <w:p w14:paraId="11AD44F7"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1981</w:t>
            </w:r>
          </w:p>
        </w:tc>
        <w:tc>
          <w:tcPr>
            <w:tcW w:w="1750" w:type="dxa"/>
            <w:shd w:val="clear" w:color="auto" w:fill="auto"/>
            <w:tcMar>
              <w:top w:w="0" w:type="dxa"/>
              <w:bottom w:w="0" w:type="dxa"/>
            </w:tcMar>
            <w:vAlign w:val="center"/>
          </w:tcPr>
          <w:p w14:paraId="3F3B84FB"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w:t>
            </w:r>
          </w:p>
        </w:tc>
        <w:tc>
          <w:tcPr>
            <w:tcW w:w="2940" w:type="dxa"/>
            <w:shd w:val="clear" w:color="auto" w:fill="auto"/>
            <w:tcMar>
              <w:top w:w="0" w:type="dxa"/>
              <w:bottom w:w="0" w:type="dxa"/>
            </w:tcMar>
            <w:vAlign w:val="center"/>
          </w:tcPr>
          <w:p w14:paraId="6969756F" w14:textId="77777777" w:rsidR="00C72F29" w:rsidRDefault="003842E3">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Appointment date: August 22, 2022</w:t>
            </w:r>
          </w:p>
        </w:tc>
      </w:tr>
    </w:tbl>
    <w:p w14:paraId="45528163" w14:textId="640AF57A" w:rsidR="00C72F29" w:rsidRDefault="003842E3" w:rsidP="00277DDD">
      <w:pPr>
        <w:numPr>
          <w:ilvl w:val="0"/>
          <w:numId w:val="2"/>
        </w:numPr>
        <w:pBdr>
          <w:top w:val="nil"/>
          <w:left w:val="nil"/>
          <w:bottom w:val="nil"/>
          <w:right w:val="nil"/>
          <w:between w:val="nil"/>
        </w:pBdr>
        <w:tabs>
          <w:tab w:val="left" w:pos="426"/>
          <w:tab w:val="left" w:pos="716"/>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r w:rsidR="00277DDD">
        <w:rPr>
          <w:rFonts w:ascii="Arial" w:hAnsi="Arial"/>
          <w:color w:val="010000"/>
          <w:sz w:val="20"/>
        </w:rPr>
        <w:t>,</w:t>
      </w:r>
    </w:p>
    <w:p w14:paraId="093A8EE8" w14:textId="77777777" w:rsidR="00C72F29" w:rsidRDefault="003842E3" w:rsidP="00277DDD">
      <w:pPr>
        <w:numPr>
          <w:ilvl w:val="0"/>
          <w:numId w:val="2"/>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of the affiliated persons of the Company and the Company itself.</w:t>
      </w:r>
    </w:p>
    <w:p w14:paraId="268908E3" w14:textId="77777777" w:rsidR="00C72F29" w:rsidRDefault="003842E3" w:rsidP="00277DDD">
      <w:pPr>
        <w:numPr>
          <w:ilvl w:val="0"/>
          <w:numId w:val="3"/>
        </w:numPr>
        <w:pBdr>
          <w:top w:val="nil"/>
          <w:left w:val="nil"/>
          <w:bottom w:val="nil"/>
          <w:right w:val="nil"/>
          <w:between w:val="nil"/>
        </w:pBdr>
        <w:tabs>
          <w:tab w:val="left" w:pos="426"/>
          <w:tab w:val="left" w:pos="55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 PDMR, affiliated persons of PDMR: None.</w:t>
      </w:r>
    </w:p>
    <w:p w14:paraId="7226C58D" w14:textId="77777777" w:rsidR="00C72F29" w:rsidRDefault="003842E3" w:rsidP="00277DDD">
      <w:pPr>
        <w:numPr>
          <w:ilvl w:val="0"/>
          <w:numId w:val="3"/>
        </w:numPr>
        <w:pBdr>
          <w:top w:val="nil"/>
          <w:left w:val="nil"/>
          <w:bottom w:val="nil"/>
          <w:right w:val="nil"/>
          <w:between w:val="nil"/>
        </w:pBdr>
        <w:tabs>
          <w:tab w:val="left" w:pos="426"/>
          <w:tab w:val="left" w:pos="555"/>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475B14D" w14:textId="77777777" w:rsidR="00C72F29" w:rsidRDefault="003842E3" w:rsidP="00277DDD">
      <w:pPr>
        <w:numPr>
          <w:ilvl w:val="0"/>
          <w:numId w:val="3"/>
        </w:numPr>
        <w:pBdr>
          <w:top w:val="nil"/>
          <w:left w:val="nil"/>
          <w:bottom w:val="nil"/>
          <w:right w:val="nil"/>
          <w:between w:val="nil"/>
        </w:pBdr>
        <w:tabs>
          <w:tab w:val="left" w:pos="426"/>
          <w:tab w:val="left" w:pos="51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21FB336" w14:textId="77777777" w:rsidR="00C72F29" w:rsidRDefault="003842E3" w:rsidP="00277DDD">
      <w:pPr>
        <w:numPr>
          <w:ilvl w:val="1"/>
          <w:numId w:val="3"/>
        </w:numPr>
        <w:pBdr>
          <w:top w:val="nil"/>
          <w:left w:val="nil"/>
          <w:bottom w:val="nil"/>
          <w:right w:val="nil"/>
          <w:between w:val="nil"/>
        </w:pBdr>
        <w:tabs>
          <w:tab w:val="left" w:pos="426"/>
          <w:tab w:val="left" w:pos="102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552AE918" w14:textId="77777777" w:rsidR="00C72F29" w:rsidRDefault="003842E3" w:rsidP="00277DDD">
      <w:pPr>
        <w:numPr>
          <w:ilvl w:val="1"/>
          <w:numId w:val="3"/>
        </w:numPr>
        <w:pBdr>
          <w:top w:val="nil"/>
          <w:left w:val="nil"/>
          <w:bottom w:val="nil"/>
          <w:right w:val="nil"/>
          <w:between w:val="nil"/>
        </w:pBdr>
        <w:tabs>
          <w:tab w:val="left" w:pos="426"/>
          <w:tab w:val="left" w:pos="101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 None</w:t>
      </w:r>
    </w:p>
    <w:p w14:paraId="6A3D2CAF" w14:textId="77777777" w:rsidR="00C72F29" w:rsidRDefault="003842E3" w:rsidP="00277DDD">
      <w:pPr>
        <w:numPr>
          <w:ilvl w:val="0"/>
          <w:numId w:val="2"/>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47E83627" w14:textId="77777777" w:rsidR="00C72F29" w:rsidRDefault="003842E3" w:rsidP="00277DDD">
      <w:pPr>
        <w:numPr>
          <w:ilvl w:val="0"/>
          <w:numId w:val="4"/>
        </w:numPr>
        <w:pBdr>
          <w:top w:val="nil"/>
          <w:left w:val="nil"/>
          <w:bottom w:val="nil"/>
          <w:right w:val="nil"/>
          <w:between w:val="nil"/>
        </w:pBdr>
        <w:tabs>
          <w:tab w:val="left" w:pos="426"/>
          <w:tab w:val="left" w:pos="491"/>
        </w:tabs>
        <w:spacing w:after="120" w:line="360" w:lineRule="auto"/>
        <w:jc w:val="both"/>
        <w:rPr>
          <w:rFonts w:ascii="Arial" w:eastAsia="Arial" w:hAnsi="Arial" w:cs="Arial"/>
          <w:color w:val="010000"/>
          <w:sz w:val="20"/>
          <w:szCs w:val="20"/>
        </w:rPr>
      </w:pPr>
      <w:r>
        <w:rPr>
          <w:rFonts w:ascii="Arial" w:hAnsi="Arial"/>
          <w:color w:val="010000"/>
          <w:sz w:val="20"/>
        </w:rPr>
        <w:t>Transaction of PDMR and affiliated persons related to the Company’s shares:</w:t>
      </w:r>
    </w:p>
    <w:p w14:paraId="32724452" w14:textId="77777777" w:rsidR="00C72F29" w:rsidRDefault="003842E3" w:rsidP="00277DD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None</w:t>
      </w:r>
    </w:p>
    <w:p w14:paraId="64B3C292" w14:textId="43E5DAE2" w:rsidR="00C72F29" w:rsidRDefault="003842E3" w:rsidP="00277DDD">
      <w:pPr>
        <w:numPr>
          <w:ilvl w:val="0"/>
          <w:numId w:val="2"/>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r w:rsidR="00277DDD">
        <w:rPr>
          <w:rFonts w:ascii="Arial" w:hAnsi="Arial"/>
          <w:color w:val="010000"/>
          <w:sz w:val="20"/>
        </w:rPr>
        <w:t>.</w:t>
      </w:r>
    </w:p>
    <w:sectPr w:rsidR="00C72F2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084"/>
    <w:multiLevelType w:val="multilevel"/>
    <w:tmpl w:val="F1C235F4"/>
    <w:lvl w:ilvl="0">
      <w:start w:val="1"/>
      <w:numFmt w:val="bullet"/>
      <w:lvlText w:val="-"/>
      <w:lvlJc w:val="left"/>
      <w:pPr>
        <w:ind w:left="0" w:firstLine="0"/>
      </w:pPr>
      <w:rPr>
        <w:rFonts w:ascii="Arial" w:eastAsia="Arial" w:hAnsi="Arial" w:cs="Arial"/>
        <w:b w:val="0"/>
        <w:i w:val="0"/>
        <w:smallCaps w:val="0"/>
        <w:strike w:val="0"/>
        <w:color w:val="3A3A3A"/>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3E4CB5"/>
    <w:multiLevelType w:val="multilevel"/>
    <w:tmpl w:val="170467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EE7E27"/>
    <w:multiLevelType w:val="multilevel"/>
    <w:tmpl w:val="F37803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D342CC"/>
    <w:multiLevelType w:val="multilevel"/>
    <w:tmpl w:val="8D7895B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FE103CD"/>
    <w:multiLevelType w:val="multilevel"/>
    <w:tmpl w:val="0BB47BEE"/>
    <w:lvl w:ilvl="0">
      <w:start w:val="1"/>
      <w:numFmt w:val="upperRoman"/>
      <w:lvlText w:val="%1."/>
      <w:lvlJc w:val="left"/>
      <w:pPr>
        <w:ind w:left="0" w:firstLine="0"/>
      </w:pPr>
      <w:rPr>
        <w:rFonts w:ascii="Arial" w:eastAsia="Arial" w:hAnsi="Arial" w:cs="Arial"/>
        <w:b w:val="0"/>
        <w:i w:val="0"/>
        <w:smallCaps w:val="0"/>
        <w:strike w:val="0"/>
        <w:color w:val="3A3A3A"/>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5EE320F"/>
    <w:multiLevelType w:val="multilevel"/>
    <w:tmpl w:val="6D48056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B501AC"/>
    <w:multiLevelType w:val="multilevel"/>
    <w:tmpl w:val="94E8F3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236C70"/>
    <w:multiLevelType w:val="multilevel"/>
    <w:tmpl w:val="81E22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9"/>
    <w:rsid w:val="00277DDD"/>
    <w:rsid w:val="002B1161"/>
    <w:rsid w:val="002C5C95"/>
    <w:rsid w:val="003842E3"/>
    <w:rsid w:val="009D4C16"/>
    <w:rsid w:val="00A63416"/>
    <w:rsid w:val="00C7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0C4"/>
  <w15:docId w15:val="{1D9B1777-02BA-49E5-91F3-065EE5FA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302" w:lineRule="auto"/>
      <w:ind w:firstLine="1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Other0">
    <w:name w:val="Other"/>
    <w:basedOn w:val="Normal"/>
    <w:link w:val="Other"/>
    <w:pPr>
      <w:spacing w:line="302" w:lineRule="auto"/>
      <w:ind w:firstLine="1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1" w:lineRule="auto"/>
      <w:jc w:val="center"/>
    </w:pPr>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8Okt2unIp7+hLocsTeFvbSzgQ==">CgMxLjAyCGguZ2pkZ3hzOAByITF6ZWY4eThpTk5FekY0NGF6ems3OXBZYVhWVWx0LWp6SQ==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2024-02-01T04:34:00Z</dcterms:created>
  <dcterms:modified xsi:type="dcterms:W3CDTF">2024-02-02T11:29:00Z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0b18b05239d02e4fea2a72aa4372769cf3c88160f3d806760d127912319164b4</vt:lpwstr>
  </property>
</Properties>
</file>