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A1EF" w14:textId="77777777" w:rsidR="00831988" w:rsidRPr="00FF5AE4" w:rsidRDefault="002646E8" w:rsidP="00965FF3">
      <w:pPr>
        <w:pBdr>
          <w:top w:val="nil"/>
          <w:left w:val="nil"/>
          <w:bottom w:val="nil"/>
          <w:right w:val="nil"/>
          <w:between w:val="nil"/>
        </w:pBdr>
        <w:spacing w:after="120" w:line="360" w:lineRule="auto"/>
        <w:jc w:val="both"/>
        <w:rPr>
          <w:rFonts w:ascii="Arial" w:eastAsia="Arial" w:hAnsi="Arial" w:cs="Arial"/>
          <w:b/>
          <w:color w:val="010000"/>
          <w:sz w:val="20"/>
          <w:szCs w:val="20"/>
        </w:rPr>
      </w:pPr>
      <w:r w:rsidRPr="00FF5AE4">
        <w:rPr>
          <w:rFonts w:ascii="Arial" w:hAnsi="Arial" w:cs="Arial"/>
          <w:b/>
          <w:color w:val="010000"/>
          <w:sz w:val="20"/>
        </w:rPr>
        <w:t>TOT: Board Resolution</w:t>
      </w:r>
    </w:p>
    <w:p w14:paraId="6076F3F6" w14:textId="591E6BA4" w:rsidR="00831988" w:rsidRPr="00FF5AE4" w:rsidRDefault="002646E8" w:rsidP="00965FF3">
      <w:pPr>
        <w:pBdr>
          <w:top w:val="nil"/>
          <w:left w:val="nil"/>
          <w:bottom w:val="nil"/>
          <w:right w:val="nil"/>
          <w:between w:val="nil"/>
        </w:pBdr>
        <w:spacing w:after="120" w:line="360" w:lineRule="auto"/>
        <w:jc w:val="both"/>
        <w:rPr>
          <w:rFonts w:ascii="Arial" w:eastAsia="Arial" w:hAnsi="Arial" w:cs="Arial"/>
          <w:color w:val="010000"/>
          <w:sz w:val="20"/>
          <w:szCs w:val="20"/>
        </w:rPr>
      </w:pPr>
      <w:r w:rsidRPr="00FF5AE4">
        <w:rPr>
          <w:rFonts w:ascii="Arial" w:hAnsi="Arial" w:cs="Arial"/>
          <w:color w:val="010000"/>
          <w:sz w:val="20"/>
        </w:rPr>
        <w:t xml:space="preserve">On January 30, 2024, </w:t>
      </w:r>
      <w:proofErr w:type="spellStart"/>
      <w:r w:rsidRPr="00FF5AE4">
        <w:rPr>
          <w:rFonts w:ascii="Arial" w:hAnsi="Arial" w:cs="Arial"/>
          <w:color w:val="010000"/>
          <w:sz w:val="20"/>
        </w:rPr>
        <w:t>Transimex</w:t>
      </w:r>
      <w:proofErr w:type="spellEnd"/>
      <w:r w:rsidRPr="00FF5AE4">
        <w:rPr>
          <w:rFonts w:ascii="Arial" w:hAnsi="Arial" w:cs="Arial"/>
          <w:color w:val="010000"/>
          <w:sz w:val="20"/>
        </w:rPr>
        <w:t xml:space="preserve"> Logistics Corporation announced Resolution No. 02/2024/NQ</w:t>
      </w:r>
      <w:r w:rsidR="00FF5AE4" w:rsidRPr="00FF5AE4">
        <w:rPr>
          <w:rFonts w:ascii="Arial" w:hAnsi="Arial" w:cs="Arial"/>
          <w:color w:val="010000"/>
          <w:sz w:val="20"/>
        </w:rPr>
        <w:t>.</w:t>
      </w:r>
      <w:r w:rsidRPr="00FF5AE4">
        <w:rPr>
          <w:rFonts w:ascii="Arial" w:hAnsi="Arial" w:cs="Arial"/>
          <w:color w:val="010000"/>
          <w:sz w:val="20"/>
        </w:rPr>
        <w:t>HDQT-TOT as follows:</w:t>
      </w:r>
    </w:p>
    <w:p w14:paraId="4E7A0FAA" w14:textId="6BB68454" w:rsidR="00831988" w:rsidRPr="00FF5AE4" w:rsidRDefault="002646E8" w:rsidP="00965FF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FF5AE4">
        <w:rPr>
          <w:rFonts w:ascii="Arial" w:hAnsi="Arial" w:cs="Arial"/>
          <w:color w:val="010000"/>
          <w:sz w:val="20"/>
        </w:rPr>
        <w:t>‎‎Article 1.</w:t>
      </w:r>
      <w:proofErr w:type="gramEnd"/>
      <w:r w:rsidRPr="00FF5AE4">
        <w:rPr>
          <w:rFonts w:ascii="Arial" w:hAnsi="Arial" w:cs="Arial"/>
          <w:color w:val="010000"/>
          <w:sz w:val="20"/>
        </w:rPr>
        <w:t xml:space="preserve"> Approve the distribution of shares</w:t>
      </w:r>
      <w:r w:rsidR="00FF5AE4" w:rsidRPr="00FF5AE4">
        <w:rPr>
          <w:rFonts w:ascii="Arial" w:hAnsi="Arial" w:cs="Arial"/>
          <w:color w:val="010000"/>
          <w:sz w:val="20"/>
        </w:rPr>
        <w:t xml:space="preserve"> from the private placement</w:t>
      </w:r>
      <w:r w:rsidRPr="00FF5AE4">
        <w:rPr>
          <w:rFonts w:ascii="Arial" w:hAnsi="Arial" w:cs="Arial"/>
          <w:color w:val="010000"/>
          <w:sz w:val="20"/>
        </w:rPr>
        <w:t xml:space="preserve"> to swap debt with the following contents:</w:t>
      </w:r>
    </w:p>
    <w:p w14:paraId="3BB7CACB" w14:textId="53FF83C0"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Share name: Share</w:t>
      </w:r>
      <w:r w:rsidR="00FF5AE4" w:rsidRPr="00FF5AE4">
        <w:rPr>
          <w:rFonts w:ascii="Arial" w:hAnsi="Arial" w:cs="Arial"/>
          <w:color w:val="010000"/>
          <w:sz w:val="20"/>
        </w:rPr>
        <w:t>s</w:t>
      </w:r>
      <w:r w:rsidRPr="00FF5AE4">
        <w:rPr>
          <w:rFonts w:ascii="Arial" w:hAnsi="Arial" w:cs="Arial"/>
          <w:color w:val="010000"/>
          <w:sz w:val="20"/>
        </w:rPr>
        <w:t xml:space="preserve"> of </w:t>
      </w:r>
      <w:proofErr w:type="spellStart"/>
      <w:r w:rsidRPr="00FF5AE4">
        <w:rPr>
          <w:rFonts w:ascii="Arial" w:hAnsi="Arial" w:cs="Arial"/>
          <w:color w:val="010000"/>
          <w:sz w:val="20"/>
        </w:rPr>
        <w:t>Transimex</w:t>
      </w:r>
      <w:proofErr w:type="spellEnd"/>
      <w:r w:rsidRPr="00FF5AE4">
        <w:rPr>
          <w:rFonts w:ascii="Arial" w:hAnsi="Arial" w:cs="Arial"/>
          <w:color w:val="010000"/>
          <w:sz w:val="20"/>
        </w:rPr>
        <w:t xml:space="preserve"> Logistics Corporation.</w:t>
      </w:r>
    </w:p>
    <w:p w14:paraId="14EBA604" w14:textId="5F17D46A" w:rsidR="00831988" w:rsidRPr="00FF5AE4" w:rsidRDefault="00FF5AE4"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Share</w:t>
      </w:r>
      <w:r w:rsidR="002646E8" w:rsidRPr="00FF5AE4">
        <w:rPr>
          <w:rFonts w:ascii="Arial" w:hAnsi="Arial" w:cs="Arial"/>
          <w:color w:val="010000"/>
          <w:sz w:val="20"/>
        </w:rPr>
        <w:t xml:space="preserve"> code: TOT</w:t>
      </w:r>
    </w:p>
    <w:p w14:paraId="2F4C99E2"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Share type: Common shares.</w:t>
      </w:r>
    </w:p>
    <w:p w14:paraId="28B82FF2" w14:textId="169683AE" w:rsidR="00831988" w:rsidRPr="00FF5AE4" w:rsidRDefault="00FF5AE4"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Share p</w:t>
      </w:r>
      <w:r w:rsidR="002646E8" w:rsidRPr="00FF5AE4">
        <w:rPr>
          <w:rFonts w:ascii="Arial" w:hAnsi="Arial" w:cs="Arial"/>
          <w:color w:val="010000"/>
          <w:sz w:val="20"/>
        </w:rPr>
        <w:t>ar value: VND 10,000/share.</w:t>
      </w:r>
    </w:p>
    <w:p w14:paraId="3D141D46"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Number of shares before issuance: 6,044,486 shares.</w:t>
      </w:r>
    </w:p>
    <w:p w14:paraId="47B3CF69"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Number of shares expected to be issued: 2,326,309 shares.</w:t>
      </w:r>
    </w:p>
    <w:p w14:paraId="5828C5D6"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Total issue value at par value: VND 23,263,090,000.</w:t>
      </w:r>
    </w:p>
    <w:p w14:paraId="2F3A82A7"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Swap rate: 13,000: 1 (VND 13,000 of debt will be swapped into 1 new TOT share)</w:t>
      </w:r>
    </w:p>
    <w:p w14:paraId="72B30753"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Distribution method: Distribute directly to creditors.</w:t>
      </w:r>
    </w:p>
    <w:p w14:paraId="592CE001" w14:textId="77777777"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bookmarkStart w:id="0" w:name="_heading=h.gjdgxs"/>
      <w:bookmarkEnd w:id="0"/>
      <w:r w:rsidRPr="00FF5AE4">
        <w:rPr>
          <w:rFonts w:ascii="Arial" w:hAnsi="Arial" w:cs="Arial"/>
          <w:color w:val="010000"/>
          <w:sz w:val="20"/>
        </w:rPr>
        <w:t>Time to swap additional issued shares for TOT's debt with creditors: March 01, 2024.</w:t>
      </w:r>
    </w:p>
    <w:p w14:paraId="299A7316" w14:textId="1FD72F90" w:rsidR="00831988" w:rsidRPr="00FF5AE4" w:rsidRDefault="002646E8" w:rsidP="00965FF3">
      <w:pPr>
        <w:numPr>
          <w:ilvl w:val="0"/>
          <w:numId w:val="1"/>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FF5AE4">
        <w:rPr>
          <w:rFonts w:ascii="Arial" w:hAnsi="Arial" w:cs="Arial"/>
          <w:color w:val="010000"/>
          <w:sz w:val="20"/>
        </w:rPr>
        <w:t>Transfer restriction: Shares issued to creditors are restricted from transfer for 1 year from the date of complet</w:t>
      </w:r>
      <w:r w:rsidR="00FF5AE4" w:rsidRPr="00FF5AE4">
        <w:rPr>
          <w:rFonts w:ascii="Arial" w:hAnsi="Arial" w:cs="Arial"/>
          <w:color w:val="010000"/>
          <w:sz w:val="20"/>
        </w:rPr>
        <w:t xml:space="preserve">ing </w:t>
      </w:r>
      <w:r w:rsidRPr="00FF5AE4">
        <w:rPr>
          <w:rFonts w:ascii="Arial" w:hAnsi="Arial" w:cs="Arial"/>
          <w:color w:val="010000"/>
          <w:sz w:val="20"/>
        </w:rPr>
        <w:t>the issuance except in cases where the transfer is carried out according to a legally effective court judgment or decision, an Arbitrator's decision or inheritance according to the provisions of law.</w:t>
      </w:r>
    </w:p>
    <w:p w14:paraId="253DDBF9" w14:textId="77777777" w:rsidR="00831988" w:rsidRPr="00FF5AE4" w:rsidRDefault="002646E8" w:rsidP="00965FF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FF5AE4">
        <w:rPr>
          <w:rFonts w:ascii="Arial" w:hAnsi="Arial" w:cs="Arial"/>
          <w:color w:val="010000"/>
          <w:sz w:val="20"/>
        </w:rPr>
        <w:t>‎‎Article 2.</w:t>
      </w:r>
      <w:proofErr w:type="gramEnd"/>
      <w:r w:rsidRPr="00FF5AE4">
        <w:rPr>
          <w:rFonts w:ascii="Arial" w:hAnsi="Arial" w:cs="Arial"/>
          <w:color w:val="010000"/>
          <w:sz w:val="20"/>
        </w:rPr>
        <w:t xml:space="preserve"> Approve the List of creditors who are distributed TOT shares in the share issuance for debt swap:</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1679"/>
        <w:gridCol w:w="1753"/>
        <w:gridCol w:w="1887"/>
        <w:gridCol w:w="1545"/>
        <w:gridCol w:w="1710"/>
      </w:tblGrid>
      <w:tr w:rsidR="00831988" w:rsidRPr="00FF5AE4" w14:paraId="12D35A2F" w14:textId="77777777" w:rsidTr="007B3700">
        <w:tc>
          <w:tcPr>
            <w:tcW w:w="261" w:type="pct"/>
            <w:shd w:val="clear" w:color="auto" w:fill="auto"/>
            <w:tcMar>
              <w:top w:w="0" w:type="dxa"/>
              <w:bottom w:w="0" w:type="dxa"/>
            </w:tcMar>
            <w:vAlign w:val="center"/>
          </w:tcPr>
          <w:p w14:paraId="512CB626"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No.</w:t>
            </w:r>
          </w:p>
        </w:tc>
        <w:tc>
          <w:tcPr>
            <w:tcW w:w="928" w:type="pct"/>
            <w:shd w:val="clear" w:color="auto" w:fill="auto"/>
            <w:tcMar>
              <w:top w:w="0" w:type="dxa"/>
              <w:bottom w:w="0" w:type="dxa"/>
            </w:tcMar>
            <w:vAlign w:val="center"/>
          </w:tcPr>
          <w:p w14:paraId="3B54AFB7"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Name of Creditor</w:t>
            </w:r>
          </w:p>
        </w:tc>
        <w:tc>
          <w:tcPr>
            <w:tcW w:w="969" w:type="pct"/>
            <w:shd w:val="clear" w:color="auto" w:fill="auto"/>
            <w:tcMar>
              <w:top w:w="0" w:type="dxa"/>
              <w:bottom w:w="0" w:type="dxa"/>
            </w:tcMar>
            <w:vAlign w:val="center"/>
          </w:tcPr>
          <w:p w14:paraId="3AE5C623"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Principal balance as of December 31, 2022 (VND)</w:t>
            </w:r>
          </w:p>
        </w:tc>
        <w:tc>
          <w:tcPr>
            <w:tcW w:w="1043" w:type="pct"/>
            <w:shd w:val="clear" w:color="auto" w:fill="auto"/>
            <w:tcMar>
              <w:top w:w="0" w:type="dxa"/>
              <w:bottom w:w="0" w:type="dxa"/>
            </w:tcMar>
            <w:vAlign w:val="center"/>
          </w:tcPr>
          <w:p w14:paraId="1BEF1192"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Value of the debt to be swapped (VND)</w:t>
            </w:r>
          </w:p>
        </w:tc>
        <w:tc>
          <w:tcPr>
            <w:tcW w:w="854" w:type="pct"/>
            <w:shd w:val="clear" w:color="auto" w:fill="auto"/>
            <w:tcMar>
              <w:top w:w="0" w:type="dxa"/>
              <w:bottom w:w="0" w:type="dxa"/>
            </w:tcMar>
            <w:vAlign w:val="center"/>
          </w:tcPr>
          <w:p w14:paraId="3D81D43F"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Number of shares swapped for creditors (shares)</w:t>
            </w:r>
          </w:p>
        </w:tc>
        <w:tc>
          <w:tcPr>
            <w:tcW w:w="945" w:type="pct"/>
            <w:shd w:val="clear" w:color="auto" w:fill="auto"/>
            <w:tcMar>
              <w:top w:w="0" w:type="dxa"/>
              <w:bottom w:w="0" w:type="dxa"/>
            </w:tcMar>
            <w:vAlign w:val="center"/>
          </w:tcPr>
          <w:p w14:paraId="38B8564B"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Value at par value (VND)</w:t>
            </w:r>
          </w:p>
        </w:tc>
      </w:tr>
      <w:tr w:rsidR="00831988" w:rsidRPr="00FF5AE4" w14:paraId="1DB1E0FC" w14:textId="77777777" w:rsidTr="007B3700">
        <w:tc>
          <w:tcPr>
            <w:tcW w:w="261" w:type="pct"/>
            <w:shd w:val="clear" w:color="auto" w:fill="auto"/>
            <w:tcMar>
              <w:top w:w="0" w:type="dxa"/>
              <w:bottom w:w="0" w:type="dxa"/>
            </w:tcMar>
            <w:vAlign w:val="center"/>
          </w:tcPr>
          <w:p w14:paraId="513775DF"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1</w:t>
            </w:r>
          </w:p>
        </w:tc>
        <w:tc>
          <w:tcPr>
            <w:tcW w:w="928" w:type="pct"/>
            <w:shd w:val="clear" w:color="auto" w:fill="auto"/>
            <w:tcMar>
              <w:top w:w="0" w:type="dxa"/>
              <w:bottom w:w="0" w:type="dxa"/>
            </w:tcMar>
            <w:vAlign w:val="center"/>
          </w:tcPr>
          <w:p w14:paraId="57B1B9B6" w14:textId="1D487012" w:rsidR="00831988" w:rsidRPr="00FF5AE4" w:rsidRDefault="002646E8" w:rsidP="007B370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F5AE4">
              <w:rPr>
                <w:rFonts w:ascii="Arial" w:hAnsi="Arial" w:cs="Arial"/>
                <w:color w:val="010000"/>
                <w:sz w:val="20"/>
              </w:rPr>
              <w:t>Transimex</w:t>
            </w:r>
            <w:proofErr w:type="spellEnd"/>
            <w:r w:rsidRPr="00FF5AE4">
              <w:rPr>
                <w:rFonts w:ascii="Arial" w:hAnsi="Arial" w:cs="Arial"/>
                <w:color w:val="010000"/>
                <w:sz w:val="20"/>
              </w:rPr>
              <w:t xml:space="preserve"> Corporation, business code 0301874259 </w:t>
            </w:r>
            <w:r w:rsidRPr="00FF5AE4">
              <w:rPr>
                <w:rFonts w:ascii="Arial" w:hAnsi="Arial" w:cs="Arial"/>
                <w:color w:val="010000"/>
                <w:sz w:val="20"/>
              </w:rPr>
              <w:br/>
            </w:r>
          </w:p>
        </w:tc>
        <w:tc>
          <w:tcPr>
            <w:tcW w:w="969" w:type="pct"/>
            <w:shd w:val="clear" w:color="auto" w:fill="auto"/>
            <w:tcMar>
              <w:top w:w="0" w:type="dxa"/>
              <w:bottom w:w="0" w:type="dxa"/>
            </w:tcMar>
            <w:vAlign w:val="center"/>
          </w:tcPr>
          <w:p w14:paraId="582E62D1"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35,157,078,292</w:t>
            </w:r>
          </w:p>
        </w:tc>
        <w:tc>
          <w:tcPr>
            <w:tcW w:w="1043" w:type="pct"/>
            <w:shd w:val="clear" w:color="auto" w:fill="auto"/>
            <w:tcMar>
              <w:top w:w="0" w:type="dxa"/>
              <w:bottom w:w="0" w:type="dxa"/>
            </w:tcMar>
            <w:vAlign w:val="center"/>
          </w:tcPr>
          <w:p w14:paraId="0691D4C1"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30,24</w:t>
            </w:r>
            <w:bookmarkStart w:id="1" w:name="_GoBack"/>
            <w:bookmarkEnd w:id="1"/>
            <w:r w:rsidRPr="00FF5AE4">
              <w:rPr>
                <w:rFonts w:ascii="Arial" w:hAnsi="Arial" w:cs="Arial"/>
                <w:color w:val="010000"/>
                <w:sz w:val="20"/>
              </w:rPr>
              <w:t>2,017,000</w:t>
            </w:r>
          </w:p>
        </w:tc>
        <w:tc>
          <w:tcPr>
            <w:tcW w:w="854" w:type="pct"/>
            <w:shd w:val="clear" w:color="auto" w:fill="auto"/>
            <w:tcMar>
              <w:top w:w="0" w:type="dxa"/>
              <w:bottom w:w="0" w:type="dxa"/>
            </w:tcMar>
            <w:vAlign w:val="center"/>
          </w:tcPr>
          <w:p w14:paraId="239BA803"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2,326,309</w:t>
            </w:r>
          </w:p>
        </w:tc>
        <w:tc>
          <w:tcPr>
            <w:tcW w:w="945" w:type="pct"/>
            <w:shd w:val="clear" w:color="auto" w:fill="auto"/>
            <w:tcMar>
              <w:top w:w="0" w:type="dxa"/>
              <w:bottom w:w="0" w:type="dxa"/>
            </w:tcMar>
            <w:vAlign w:val="center"/>
          </w:tcPr>
          <w:p w14:paraId="258941E6" w14:textId="77777777" w:rsidR="00831988" w:rsidRPr="00FF5AE4" w:rsidRDefault="002646E8" w:rsidP="00965FF3">
            <w:pPr>
              <w:pBdr>
                <w:top w:val="nil"/>
                <w:left w:val="nil"/>
                <w:bottom w:val="nil"/>
                <w:right w:val="nil"/>
                <w:between w:val="nil"/>
              </w:pBdr>
              <w:spacing w:after="120" w:line="360" w:lineRule="auto"/>
              <w:jc w:val="center"/>
              <w:rPr>
                <w:rFonts w:ascii="Arial" w:eastAsia="Arial" w:hAnsi="Arial" w:cs="Arial"/>
                <w:color w:val="010000"/>
                <w:sz w:val="20"/>
                <w:szCs w:val="20"/>
              </w:rPr>
            </w:pPr>
            <w:r w:rsidRPr="00FF5AE4">
              <w:rPr>
                <w:rFonts w:ascii="Arial" w:hAnsi="Arial" w:cs="Arial"/>
                <w:color w:val="010000"/>
                <w:sz w:val="20"/>
              </w:rPr>
              <w:t>23,263,090,000</w:t>
            </w:r>
          </w:p>
        </w:tc>
      </w:tr>
    </w:tbl>
    <w:p w14:paraId="4C10E183" w14:textId="77777777" w:rsidR="00831988" w:rsidRPr="00FF5AE4" w:rsidRDefault="002646E8" w:rsidP="00965FF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FF5AE4">
        <w:rPr>
          <w:rFonts w:ascii="Arial" w:hAnsi="Arial" w:cs="Arial"/>
          <w:color w:val="010000"/>
          <w:sz w:val="20"/>
        </w:rPr>
        <w:t>‎‎Article 3.</w:t>
      </w:r>
      <w:proofErr w:type="gramEnd"/>
      <w:r w:rsidRPr="00FF5AE4">
        <w:rPr>
          <w:rFonts w:ascii="Arial" w:hAnsi="Arial" w:cs="Arial"/>
          <w:color w:val="010000"/>
          <w:sz w:val="20"/>
        </w:rPr>
        <w:t xml:space="preserve"> Approve the Board of Directors authorizing the Chair of the Board of Directors to carry out the necessary work to complete the documents and other related work at the request of competent state agencies to ensure compliance with legal regulations and the Company's Charter.</w:t>
      </w:r>
    </w:p>
    <w:p w14:paraId="3EA840BF" w14:textId="0D0F68E3" w:rsidR="00831988" w:rsidRPr="00FF5AE4" w:rsidRDefault="002646E8" w:rsidP="00965FF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FF5AE4">
        <w:rPr>
          <w:rFonts w:ascii="Arial" w:hAnsi="Arial" w:cs="Arial"/>
          <w:color w:val="010000"/>
          <w:sz w:val="20"/>
        </w:rPr>
        <w:t>‎‎Article 4.</w:t>
      </w:r>
      <w:proofErr w:type="gramEnd"/>
      <w:r w:rsidRPr="00FF5AE4">
        <w:rPr>
          <w:rFonts w:ascii="Arial" w:hAnsi="Arial" w:cs="Arial"/>
          <w:color w:val="010000"/>
          <w:sz w:val="20"/>
        </w:rPr>
        <w:t xml:space="preserve"> This Resolution takes effect from the date of its signing. Members of the Board of Directors, </w:t>
      </w:r>
      <w:proofErr w:type="gramStart"/>
      <w:r w:rsidRPr="00FF5AE4">
        <w:rPr>
          <w:rFonts w:ascii="Arial" w:hAnsi="Arial" w:cs="Arial"/>
          <w:color w:val="010000"/>
          <w:sz w:val="20"/>
        </w:rPr>
        <w:lastRenderedPageBreak/>
        <w:t>the</w:t>
      </w:r>
      <w:proofErr w:type="gramEnd"/>
      <w:r w:rsidRPr="00FF5AE4">
        <w:rPr>
          <w:rFonts w:ascii="Arial" w:hAnsi="Arial" w:cs="Arial"/>
          <w:color w:val="010000"/>
          <w:sz w:val="20"/>
        </w:rPr>
        <w:t xml:space="preserve"> Board of Management, </w:t>
      </w:r>
      <w:r w:rsidR="00FF5AE4" w:rsidRPr="00FF5AE4">
        <w:rPr>
          <w:rFonts w:ascii="Arial" w:hAnsi="Arial" w:cs="Arial"/>
          <w:color w:val="010000"/>
          <w:sz w:val="20"/>
        </w:rPr>
        <w:t>D</w:t>
      </w:r>
      <w:r w:rsidRPr="00FF5AE4">
        <w:rPr>
          <w:rFonts w:ascii="Arial" w:hAnsi="Arial" w:cs="Arial"/>
          <w:color w:val="010000"/>
          <w:sz w:val="20"/>
        </w:rPr>
        <w:t>epartments in the Company and relevant organizations and individuals are responsible for implementing this Resolution as per the provisions of law and the Company’s Charter.</w:t>
      </w:r>
    </w:p>
    <w:sectPr w:rsidR="00831988" w:rsidRPr="00FF5AE4" w:rsidSect="002F37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642D"/>
    <w:multiLevelType w:val="multilevel"/>
    <w:tmpl w:val="AF26B8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88"/>
    <w:rsid w:val="002646E8"/>
    <w:rsid w:val="002F37C1"/>
    <w:rsid w:val="007B3700"/>
    <w:rsid w:val="00831988"/>
    <w:rsid w:val="00965FF3"/>
    <w:rsid w:val="00FF5AE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25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25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5SvIDx/h6dbrkRX/72c+eLPPaA==">CgMxLjAyCGguZ2pkZ3hzOAByITFuYjI4ZTN5N2xsRFVOSUpXRFZoQ1l4LXFuV044blBiUQ==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2024-02-05T02:06:00Z</dcterms:created>
  <dcterms:modified xsi:type="dcterms:W3CDTF">2024-02-05T04:33:00Z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fe6dd61110ce33fa67befbec39b83699a955388e281b557bbcecdb01eb881b7d</vt:lpwstr>
  </property>
</Properties>
</file>