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E7DC" w14:textId="77777777" w:rsidR="00FD0A58" w:rsidRPr="0079781D" w:rsidRDefault="00FD0A58" w:rsidP="00625B09">
      <w:pPr>
        <w:pStyle w:val="Vnbnnidung0"/>
        <w:spacing w:after="120" w:line="360" w:lineRule="auto"/>
        <w:jc w:val="both"/>
        <w:rPr>
          <w:b/>
          <w:color w:val="010000"/>
        </w:rPr>
      </w:pPr>
      <w:r w:rsidRPr="0079781D">
        <w:rPr>
          <w:b/>
          <w:color w:val="010000"/>
        </w:rPr>
        <w:t>VCR: Board Resolution</w:t>
      </w:r>
    </w:p>
    <w:p w14:paraId="3D66A7A8" w14:textId="498CFBB2" w:rsidR="00FD0A58" w:rsidRPr="0079781D" w:rsidRDefault="00FD0A58" w:rsidP="00625B09">
      <w:pPr>
        <w:pStyle w:val="Vnbnnidung0"/>
        <w:spacing w:after="120" w:line="360" w:lineRule="auto"/>
        <w:jc w:val="both"/>
        <w:rPr>
          <w:color w:val="010000"/>
          <w:lang w:val="en-US"/>
        </w:rPr>
      </w:pPr>
      <w:r w:rsidRPr="0079781D">
        <w:rPr>
          <w:color w:val="010000"/>
        </w:rPr>
        <w:t>On February 1, 2024, Vinaconex Investment and Tourism Development Joint Stock Company</w:t>
      </w:r>
      <w:r w:rsidRPr="0079781D">
        <w:rPr>
          <w:color w:val="010000"/>
          <w:lang w:val="en-US"/>
        </w:rPr>
        <w:t xml:space="preserve"> announced</w:t>
      </w:r>
      <w:r w:rsidRPr="0079781D">
        <w:rPr>
          <w:color w:val="010000"/>
        </w:rPr>
        <w:t xml:space="preserve"> Resolution No. 003/2024/NQ-HDQT on the </w:t>
      </w:r>
      <w:r w:rsidRPr="0079781D">
        <w:rPr>
          <w:color w:val="010000"/>
          <w:lang w:val="en-US"/>
        </w:rPr>
        <w:t>record</w:t>
      </w:r>
      <w:r w:rsidRPr="0079781D">
        <w:rPr>
          <w:color w:val="010000"/>
        </w:rPr>
        <w:t xml:space="preserve"> </w:t>
      </w:r>
      <w:r w:rsidRPr="0079781D">
        <w:rPr>
          <w:color w:val="010000"/>
          <w:lang w:val="en-US"/>
        </w:rPr>
        <w:t>d</w:t>
      </w:r>
      <w:r w:rsidRPr="0079781D">
        <w:rPr>
          <w:color w:val="010000"/>
        </w:rPr>
        <w:t xml:space="preserve">ate and the date of </w:t>
      </w:r>
      <w:r w:rsidRPr="0079781D">
        <w:rPr>
          <w:color w:val="010000"/>
          <w:lang w:val="en-US"/>
        </w:rPr>
        <w:t xml:space="preserve">organizing </w:t>
      </w:r>
      <w:r w:rsidRPr="0079781D">
        <w:rPr>
          <w:color w:val="010000"/>
        </w:rPr>
        <w:t xml:space="preserve">the Annual </w:t>
      </w:r>
      <w:r w:rsidR="00C45864">
        <w:rPr>
          <w:color w:val="010000"/>
        </w:rPr>
        <w:t>General Meeting</w:t>
      </w:r>
      <w:r w:rsidRPr="0079781D">
        <w:rPr>
          <w:color w:val="010000"/>
        </w:rPr>
        <w:t xml:space="preserve"> 2024 as follows:</w:t>
      </w:r>
      <w:r w:rsidRPr="0079781D">
        <w:rPr>
          <w:color w:val="010000"/>
          <w:lang w:val="en-US"/>
        </w:rPr>
        <w:t xml:space="preserve"> </w:t>
      </w:r>
    </w:p>
    <w:p w14:paraId="1F36E123" w14:textId="0B1BFBE2" w:rsidR="00F65345" w:rsidRPr="0079781D" w:rsidRDefault="00FD0A58" w:rsidP="00625B09">
      <w:pPr>
        <w:pStyle w:val="Vnbnnidung0"/>
        <w:spacing w:after="120" w:line="360" w:lineRule="auto"/>
        <w:jc w:val="both"/>
        <w:rPr>
          <w:color w:val="010000"/>
        </w:rPr>
      </w:pPr>
      <w:r w:rsidRPr="0079781D">
        <w:rPr>
          <w:bCs/>
          <w:color w:val="010000"/>
        </w:rPr>
        <w:t xml:space="preserve">Article 1: Approve the plan to </w:t>
      </w:r>
      <w:r w:rsidR="00C45864">
        <w:rPr>
          <w:bCs/>
          <w:color w:val="010000"/>
          <w:lang w:val="en-US"/>
        </w:rPr>
        <w:t>convene</w:t>
      </w:r>
      <w:r w:rsidRPr="0079781D">
        <w:rPr>
          <w:bCs/>
          <w:color w:val="010000"/>
        </w:rPr>
        <w:t xml:space="preserve"> the Annual </w:t>
      </w:r>
      <w:r w:rsidR="00C45864">
        <w:rPr>
          <w:bCs/>
          <w:color w:val="010000"/>
        </w:rPr>
        <w:t>General Meeting</w:t>
      </w:r>
      <w:r w:rsidRPr="0079781D">
        <w:rPr>
          <w:bCs/>
          <w:color w:val="010000"/>
        </w:rPr>
        <w:t xml:space="preserve"> 2024 of </w:t>
      </w:r>
      <w:r w:rsidRPr="0079781D">
        <w:rPr>
          <w:color w:val="010000"/>
        </w:rPr>
        <w:t>Vinaconex Investment and Tourism Development Joint Stock Company</w:t>
      </w:r>
      <w:r w:rsidRPr="0079781D">
        <w:rPr>
          <w:bCs/>
          <w:color w:val="010000"/>
        </w:rPr>
        <w:t xml:space="preserve"> as follows</w:t>
      </w:r>
      <w:r w:rsidRPr="0079781D">
        <w:rPr>
          <w:color w:val="010000"/>
        </w:rPr>
        <w:t>:</w:t>
      </w:r>
    </w:p>
    <w:p w14:paraId="091C29BF" w14:textId="20DA69AF" w:rsidR="00FD0A58" w:rsidRPr="0079781D" w:rsidRDefault="00C45864" w:rsidP="00625B09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>
        <w:rPr>
          <w:color w:val="010000"/>
          <w:lang w:val="en-US"/>
        </w:rPr>
        <w:t>Convening date of</w:t>
      </w:r>
      <w:r w:rsidR="00FD0A58" w:rsidRPr="0079781D">
        <w:rPr>
          <w:color w:val="010000"/>
        </w:rPr>
        <w:t xml:space="preserve"> the Annual </w:t>
      </w:r>
      <w:r>
        <w:rPr>
          <w:color w:val="010000"/>
        </w:rPr>
        <w:t>General Meeting</w:t>
      </w:r>
      <w:r w:rsidR="00FD0A58" w:rsidRPr="0079781D">
        <w:rPr>
          <w:color w:val="010000"/>
        </w:rPr>
        <w:t xml:space="preserve"> 2024 (expected): April 4, 2024 (Thursday).</w:t>
      </w:r>
    </w:p>
    <w:p w14:paraId="71C4F252" w14:textId="77777777" w:rsidR="00D0005B" w:rsidRPr="0079781D" w:rsidRDefault="00FD0A58" w:rsidP="00625B09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  <w:lang w:val="en-US"/>
        </w:rPr>
        <w:t>Venue</w:t>
      </w:r>
      <w:r w:rsidRPr="0079781D">
        <w:rPr>
          <w:color w:val="010000"/>
        </w:rPr>
        <w:t xml:space="preserve"> (expected): Hall 2104, 21st Floor, VINACONEX Building, 34 Lang Ha, Lang Ha Ward, Dong Da District, Hanoi City.</w:t>
      </w:r>
    </w:p>
    <w:p w14:paraId="61372E02" w14:textId="77777777" w:rsidR="00D0005B" w:rsidRPr="0079781D" w:rsidRDefault="00D0005B" w:rsidP="00625B09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  <w:lang w:val="en-US"/>
        </w:rPr>
        <w:t>Record</w:t>
      </w:r>
      <w:r w:rsidR="00FD0A58" w:rsidRPr="0079781D">
        <w:rPr>
          <w:color w:val="010000"/>
        </w:rPr>
        <w:t xml:space="preserve"> date (</w:t>
      </w:r>
      <w:r w:rsidRPr="0079781D">
        <w:rPr>
          <w:color w:val="010000"/>
          <w:lang w:val="en-US"/>
        </w:rPr>
        <w:t>record</w:t>
      </w:r>
      <w:r w:rsidR="00FD0A58" w:rsidRPr="0079781D">
        <w:rPr>
          <w:color w:val="010000"/>
        </w:rPr>
        <w:t xml:space="preserve"> date </w:t>
      </w:r>
      <w:r w:rsidRPr="0079781D">
        <w:rPr>
          <w:color w:val="010000"/>
          <w:lang w:val="en-US"/>
        </w:rPr>
        <w:t>for the</w:t>
      </w:r>
      <w:r w:rsidR="00FD0A58" w:rsidRPr="0079781D">
        <w:rPr>
          <w:color w:val="010000"/>
        </w:rPr>
        <w:t xml:space="preserve"> list of shareholders invited to attend the </w:t>
      </w:r>
      <w:r w:rsidRPr="0079781D">
        <w:rPr>
          <w:color w:val="010000"/>
          <w:lang w:val="en-US"/>
        </w:rPr>
        <w:t>M</w:t>
      </w:r>
      <w:r w:rsidR="00FD0A58" w:rsidRPr="0079781D">
        <w:rPr>
          <w:color w:val="010000"/>
        </w:rPr>
        <w:t xml:space="preserve">eeting): March </w:t>
      </w:r>
      <w:r w:rsidRPr="0079781D">
        <w:rPr>
          <w:color w:val="010000"/>
          <w:lang w:val="en-US"/>
        </w:rPr>
        <w:t>0</w:t>
      </w:r>
      <w:r w:rsidR="00FD0A58" w:rsidRPr="0079781D">
        <w:rPr>
          <w:color w:val="010000"/>
        </w:rPr>
        <w:t>4, 2024 (Monday).</w:t>
      </w:r>
    </w:p>
    <w:p w14:paraId="623EECCB" w14:textId="29B35E58" w:rsidR="00FD0A58" w:rsidRPr="0079781D" w:rsidRDefault="00FD0A58" w:rsidP="00625B09">
      <w:pPr>
        <w:pStyle w:val="Vnbnnidung0"/>
        <w:numPr>
          <w:ilvl w:val="0"/>
          <w:numId w:val="5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>Meeting content (expected):</w:t>
      </w:r>
    </w:p>
    <w:p w14:paraId="612ED52A" w14:textId="77777777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>Report of the Executive Board on production and business results in 2023 and production and business plan 2024;</w:t>
      </w:r>
    </w:p>
    <w:p w14:paraId="7D92B32B" w14:textId="77777777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Proposal of the Board of Directors on approving the Company's </w:t>
      </w:r>
      <w:r w:rsidR="00D0005B" w:rsidRPr="0079781D">
        <w:rPr>
          <w:color w:val="010000"/>
        </w:rPr>
        <w:t>Audited Financial Statements</w:t>
      </w:r>
      <w:r w:rsidR="00D0005B" w:rsidRPr="0079781D">
        <w:rPr>
          <w:color w:val="010000"/>
          <w:lang w:val="en-US"/>
        </w:rPr>
        <w:t xml:space="preserve"> </w:t>
      </w:r>
      <w:r w:rsidR="00D0005B" w:rsidRPr="0079781D">
        <w:rPr>
          <w:color w:val="010000"/>
        </w:rPr>
        <w:t>2023</w:t>
      </w:r>
      <w:r w:rsidRPr="0079781D">
        <w:rPr>
          <w:color w:val="010000"/>
        </w:rPr>
        <w:t>;</w:t>
      </w:r>
    </w:p>
    <w:p w14:paraId="7EE40793" w14:textId="42864EAD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Report of the Board of Directors </w:t>
      </w:r>
      <w:r w:rsidR="00D0005B" w:rsidRPr="0079781D">
        <w:rPr>
          <w:color w:val="010000"/>
          <w:lang w:val="en-US"/>
        </w:rPr>
        <w:t xml:space="preserve">on </w:t>
      </w:r>
      <w:r w:rsidRPr="0079781D">
        <w:rPr>
          <w:color w:val="010000"/>
        </w:rPr>
        <w:t>evaluating the management of production and business activities of the Company in 2023 and</w:t>
      </w:r>
      <w:r w:rsidR="0079781D" w:rsidRPr="0079781D">
        <w:rPr>
          <w:color w:val="010000"/>
        </w:rPr>
        <w:t xml:space="preserve"> </w:t>
      </w:r>
      <w:r w:rsidR="00D0005B" w:rsidRPr="0079781D">
        <w:rPr>
          <w:color w:val="010000"/>
          <w:lang w:val="en-US"/>
        </w:rPr>
        <w:t>a number of</w:t>
      </w:r>
      <w:r w:rsidRPr="0079781D">
        <w:rPr>
          <w:color w:val="010000"/>
        </w:rPr>
        <w:t xml:space="preserve"> key tasks in 2024;</w:t>
      </w:r>
    </w:p>
    <w:p w14:paraId="20CABC9C" w14:textId="7E581656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Report of the Supervisory Board at the Annual </w:t>
      </w:r>
      <w:r w:rsidR="00C45864">
        <w:rPr>
          <w:color w:val="010000"/>
        </w:rPr>
        <w:t>General Meeting</w:t>
      </w:r>
      <w:r w:rsidR="00D0005B" w:rsidRPr="0079781D">
        <w:rPr>
          <w:color w:val="010000"/>
          <w:lang w:val="en-US"/>
        </w:rPr>
        <w:t xml:space="preserve"> </w:t>
      </w:r>
      <w:r w:rsidR="00D0005B" w:rsidRPr="0079781D">
        <w:rPr>
          <w:color w:val="010000"/>
        </w:rPr>
        <w:t>2024</w:t>
      </w:r>
      <w:r w:rsidRPr="0079781D">
        <w:rPr>
          <w:color w:val="010000"/>
        </w:rPr>
        <w:t>;</w:t>
      </w:r>
    </w:p>
    <w:p w14:paraId="4CA248B5" w14:textId="77777777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Proposal of the Supervisory Board on the plan to select an independent audit company to audit and review the Company's </w:t>
      </w:r>
      <w:r w:rsidR="00D0005B" w:rsidRPr="0079781D">
        <w:rPr>
          <w:color w:val="010000"/>
          <w:lang w:val="en-US"/>
        </w:rPr>
        <w:t>F</w:t>
      </w:r>
      <w:r w:rsidRPr="0079781D">
        <w:rPr>
          <w:color w:val="010000"/>
        </w:rPr>
        <w:t xml:space="preserve">inancial </w:t>
      </w:r>
      <w:r w:rsidR="00D0005B" w:rsidRPr="0079781D">
        <w:rPr>
          <w:color w:val="010000"/>
          <w:lang w:val="en-US"/>
        </w:rPr>
        <w:t>Statements</w:t>
      </w:r>
      <w:r w:rsidRPr="0079781D">
        <w:rPr>
          <w:color w:val="010000"/>
        </w:rPr>
        <w:t xml:space="preserve"> 2024;</w:t>
      </w:r>
    </w:p>
    <w:p w14:paraId="58CDA022" w14:textId="77777777" w:rsidR="00D0005B" w:rsidRPr="0079781D" w:rsidRDefault="00D0005B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  <w:lang w:val="en-US"/>
        </w:rPr>
        <w:t xml:space="preserve">Proposal of the </w:t>
      </w:r>
      <w:r w:rsidR="00FD0A58" w:rsidRPr="0079781D">
        <w:rPr>
          <w:color w:val="010000"/>
        </w:rPr>
        <w:t>Board of Directors</w:t>
      </w:r>
      <w:r w:rsidRPr="0079781D">
        <w:rPr>
          <w:color w:val="010000"/>
          <w:lang w:val="en-US"/>
        </w:rPr>
        <w:t xml:space="preserve"> </w:t>
      </w:r>
      <w:r w:rsidR="00FD0A58" w:rsidRPr="0079781D">
        <w:rPr>
          <w:color w:val="010000"/>
        </w:rPr>
        <w:t xml:space="preserve">on the </w:t>
      </w:r>
      <w:r w:rsidRPr="0079781D">
        <w:rPr>
          <w:color w:val="010000"/>
          <w:lang w:val="en-US"/>
        </w:rPr>
        <w:t>plan to distribute profit</w:t>
      </w:r>
      <w:r w:rsidR="00FD0A58" w:rsidRPr="0079781D">
        <w:rPr>
          <w:color w:val="010000"/>
        </w:rPr>
        <w:t xml:space="preserve"> after</w:t>
      </w:r>
      <w:r w:rsidRPr="0079781D">
        <w:rPr>
          <w:color w:val="010000"/>
          <w:lang w:val="en-US"/>
        </w:rPr>
        <w:t xml:space="preserve"> </w:t>
      </w:r>
      <w:r w:rsidR="00FD0A58" w:rsidRPr="0079781D">
        <w:rPr>
          <w:color w:val="010000"/>
        </w:rPr>
        <w:t xml:space="preserve">tax </w:t>
      </w:r>
      <w:r w:rsidRPr="0079781D">
        <w:rPr>
          <w:color w:val="010000"/>
          <w:lang w:val="en-US"/>
        </w:rPr>
        <w:t>in 2023 of the Company</w:t>
      </w:r>
      <w:r w:rsidR="00FD0A58" w:rsidRPr="0079781D">
        <w:rPr>
          <w:color w:val="010000"/>
        </w:rPr>
        <w:t>;</w:t>
      </w:r>
    </w:p>
    <w:p w14:paraId="2D1802CB" w14:textId="77777777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Proposal of the Board of Directors on </w:t>
      </w:r>
      <w:r w:rsidR="00D0005B" w:rsidRPr="0079781D">
        <w:rPr>
          <w:color w:val="010000"/>
          <w:lang w:val="en-US"/>
        </w:rPr>
        <w:t>settling</w:t>
      </w:r>
      <w:r w:rsidRPr="0079781D">
        <w:rPr>
          <w:color w:val="010000"/>
        </w:rPr>
        <w:t xml:space="preserve"> the remuneration </w:t>
      </w:r>
      <w:r w:rsidR="00D0005B" w:rsidRPr="0079781D">
        <w:rPr>
          <w:color w:val="010000"/>
          <w:lang w:val="en-US"/>
        </w:rPr>
        <w:t>for</w:t>
      </w:r>
      <w:r w:rsidRPr="0079781D">
        <w:rPr>
          <w:color w:val="010000"/>
        </w:rPr>
        <w:t xml:space="preserve"> the Board of Directors and </w:t>
      </w:r>
      <w:r w:rsidR="00D0005B" w:rsidRPr="0079781D">
        <w:rPr>
          <w:color w:val="010000"/>
          <w:lang w:val="en-US"/>
        </w:rPr>
        <w:t xml:space="preserve">the </w:t>
      </w:r>
      <w:r w:rsidRPr="0079781D">
        <w:rPr>
          <w:color w:val="010000"/>
        </w:rPr>
        <w:t xml:space="preserve">Supervisory Board in 2023 and the plan to pay remuneration for the Board of Directors and </w:t>
      </w:r>
      <w:r w:rsidR="00D0005B" w:rsidRPr="0079781D">
        <w:rPr>
          <w:color w:val="010000"/>
          <w:lang w:val="en-US"/>
        </w:rPr>
        <w:t xml:space="preserve">the </w:t>
      </w:r>
      <w:r w:rsidRPr="0079781D">
        <w:rPr>
          <w:color w:val="010000"/>
        </w:rPr>
        <w:t>Supervisory Board in 2024;</w:t>
      </w:r>
    </w:p>
    <w:p w14:paraId="1DD85DB6" w14:textId="77777777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Proposal of the Board of Directors on </w:t>
      </w:r>
      <w:r w:rsidR="00D0005B" w:rsidRPr="0079781D">
        <w:rPr>
          <w:color w:val="010000"/>
          <w:lang w:val="en-US"/>
        </w:rPr>
        <w:t>a</w:t>
      </w:r>
      <w:r w:rsidRPr="0079781D">
        <w:rPr>
          <w:color w:val="010000"/>
        </w:rPr>
        <w:t>pproving the transaction policy with Vinaconex</w:t>
      </w:r>
      <w:r w:rsidR="00D0005B" w:rsidRPr="0079781D">
        <w:rPr>
          <w:color w:val="010000"/>
          <w:lang w:val="en-US"/>
        </w:rPr>
        <w:t xml:space="preserve"> </w:t>
      </w:r>
      <w:r w:rsidRPr="0079781D">
        <w:rPr>
          <w:color w:val="010000"/>
        </w:rPr>
        <w:t xml:space="preserve">Corporation and/or member companies in the same Vinaconex </w:t>
      </w:r>
      <w:r w:rsidR="00D0005B" w:rsidRPr="0079781D">
        <w:rPr>
          <w:color w:val="010000"/>
          <w:lang w:val="en-US"/>
        </w:rPr>
        <w:t>Corporation</w:t>
      </w:r>
      <w:r w:rsidRPr="0079781D">
        <w:rPr>
          <w:color w:val="010000"/>
        </w:rPr>
        <w:t>/</w:t>
      </w:r>
      <w:r w:rsidR="00D0005B" w:rsidRPr="0079781D">
        <w:rPr>
          <w:color w:val="010000"/>
          <w:lang w:val="en-US"/>
        </w:rPr>
        <w:t>G</w:t>
      </w:r>
      <w:r w:rsidRPr="0079781D">
        <w:rPr>
          <w:color w:val="010000"/>
        </w:rPr>
        <w:t>roup;</w:t>
      </w:r>
    </w:p>
    <w:p w14:paraId="2FDBA2BF" w14:textId="77777777" w:rsidR="00D0005B" w:rsidRPr="0079781D" w:rsidRDefault="00D0005B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>Personnel consolidation</w:t>
      </w:r>
      <w:r w:rsidRPr="0079781D">
        <w:rPr>
          <w:color w:val="010000"/>
          <w:lang w:val="en-US"/>
        </w:rPr>
        <w:t xml:space="preserve"> for the Company </w:t>
      </w:r>
      <w:r w:rsidR="00FD0A58" w:rsidRPr="0079781D">
        <w:rPr>
          <w:color w:val="010000"/>
        </w:rPr>
        <w:t>Board of Directors</w:t>
      </w:r>
      <w:r w:rsidRPr="0079781D">
        <w:rPr>
          <w:color w:val="010000"/>
          <w:lang w:val="en-US"/>
        </w:rPr>
        <w:t xml:space="preserve"> (</w:t>
      </w:r>
      <w:r w:rsidR="00FD0A58" w:rsidRPr="0079781D">
        <w:rPr>
          <w:color w:val="010000"/>
        </w:rPr>
        <w:t>term 2021-2026</w:t>
      </w:r>
      <w:r w:rsidRPr="0079781D">
        <w:rPr>
          <w:color w:val="010000"/>
          <w:lang w:val="en-US"/>
        </w:rPr>
        <w:t>)</w:t>
      </w:r>
      <w:r w:rsidR="00FD0A58" w:rsidRPr="0079781D">
        <w:rPr>
          <w:color w:val="010000"/>
        </w:rPr>
        <w:t>;</w:t>
      </w:r>
    </w:p>
    <w:p w14:paraId="357F93E7" w14:textId="6FA48F56" w:rsidR="00D0005B" w:rsidRPr="0079781D" w:rsidRDefault="00FD0A58" w:rsidP="00625B09">
      <w:pPr>
        <w:pStyle w:val="Vnbnnidung0"/>
        <w:numPr>
          <w:ilvl w:val="0"/>
          <w:numId w:val="7"/>
        </w:numPr>
        <w:tabs>
          <w:tab w:val="left" w:pos="432"/>
        </w:tabs>
        <w:spacing w:after="120" w:line="360" w:lineRule="auto"/>
        <w:ind w:left="0" w:firstLine="0"/>
        <w:jc w:val="both"/>
        <w:rPr>
          <w:color w:val="010000"/>
        </w:rPr>
      </w:pPr>
      <w:r w:rsidRPr="0079781D">
        <w:rPr>
          <w:color w:val="010000"/>
        </w:rPr>
        <w:t xml:space="preserve">Other contents under the authority of the </w:t>
      </w:r>
      <w:r w:rsidR="00C45864">
        <w:rPr>
          <w:color w:val="010000"/>
        </w:rPr>
        <w:t>General Meeting</w:t>
      </w:r>
      <w:r w:rsidRPr="0079781D">
        <w:rPr>
          <w:color w:val="010000"/>
        </w:rPr>
        <w:t>.</w:t>
      </w:r>
    </w:p>
    <w:p w14:paraId="33CD70F3" w14:textId="33CF431C" w:rsidR="00D0005B" w:rsidRPr="0079781D" w:rsidRDefault="00D0005B" w:rsidP="00625B09">
      <w:pPr>
        <w:pStyle w:val="Vnbnnidung0"/>
        <w:tabs>
          <w:tab w:val="left" w:pos="432"/>
        </w:tabs>
        <w:spacing w:after="120" w:line="360" w:lineRule="auto"/>
        <w:jc w:val="both"/>
        <w:rPr>
          <w:bCs/>
          <w:color w:val="010000"/>
        </w:rPr>
      </w:pPr>
      <w:r w:rsidRPr="0079781D">
        <w:rPr>
          <w:bCs/>
          <w:color w:val="010000"/>
        </w:rPr>
        <w:t>Article 2: Implementation</w:t>
      </w:r>
    </w:p>
    <w:p w14:paraId="6B72E07C" w14:textId="7F633479" w:rsidR="00D0005B" w:rsidRPr="0079781D" w:rsidRDefault="00D0005B" w:rsidP="00625B09">
      <w:pPr>
        <w:pStyle w:val="Vnbnnidung0"/>
        <w:tabs>
          <w:tab w:val="left" w:pos="432"/>
        </w:tabs>
        <w:spacing w:after="120" w:line="360" w:lineRule="auto"/>
        <w:jc w:val="both"/>
        <w:rPr>
          <w:bCs/>
          <w:color w:val="010000"/>
        </w:rPr>
      </w:pPr>
      <w:r w:rsidRPr="0079781D">
        <w:rPr>
          <w:bCs/>
          <w:color w:val="010000"/>
        </w:rPr>
        <w:t xml:space="preserve">The </w:t>
      </w:r>
      <w:r w:rsidR="00C45864">
        <w:rPr>
          <w:bCs/>
          <w:color w:val="010000"/>
          <w:lang w:val="en-US"/>
        </w:rPr>
        <w:t>Managing Director</w:t>
      </w:r>
      <w:r w:rsidRPr="0079781D">
        <w:rPr>
          <w:bCs/>
          <w:color w:val="010000"/>
        </w:rPr>
        <w:t xml:space="preserve"> directs the Company's professional departments, based on their functions and tasks, to </w:t>
      </w:r>
      <w:r w:rsidRPr="0079781D">
        <w:rPr>
          <w:bCs/>
          <w:color w:val="010000"/>
          <w:lang w:val="en-US"/>
        </w:rPr>
        <w:t>c</w:t>
      </w:r>
      <w:r w:rsidR="00C45864">
        <w:rPr>
          <w:bCs/>
          <w:color w:val="010000"/>
        </w:rPr>
        <w:t>arry out preparations and convene</w:t>
      </w:r>
      <w:r w:rsidRPr="0079781D">
        <w:rPr>
          <w:bCs/>
          <w:color w:val="010000"/>
        </w:rPr>
        <w:t xml:space="preserve"> the Annual </w:t>
      </w:r>
      <w:r w:rsidR="00C45864">
        <w:rPr>
          <w:bCs/>
          <w:color w:val="010000"/>
        </w:rPr>
        <w:t>General Meeting</w:t>
      </w:r>
      <w:r w:rsidRPr="0079781D">
        <w:rPr>
          <w:bCs/>
          <w:color w:val="010000"/>
        </w:rPr>
        <w:t xml:space="preserve"> 2024 according to th</w:t>
      </w:r>
      <w:r w:rsidRPr="0079781D">
        <w:rPr>
          <w:bCs/>
          <w:color w:val="010000"/>
          <w:lang w:val="en-US"/>
        </w:rPr>
        <w:t xml:space="preserve">e </w:t>
      </w:r>
      <w:r w:rsidRPr="0079781D">
        <w:rPr>
          <w:bCs/>
          <w:color w:val="010000"/>
        </w:rPr>
        <w:t>contents</w:t>
      </w:r>
      <w:r w:rsidRPr="0079781D">
        <w:rPr>
          <w:bCs/>
          <w:color w:val="010000"/>
          <w:lang w:val="en-US"/>
        </w:rPr>
        <w:t xml:space="preserve"> </w:t>
      </w:r>
      <w:r w:rsidRPr="0079781D">
        <w:rPr>
          <w:bCs/>
          <w:color w:val="010000"/>
        </w:rPr>
        <w:t>approved in Article 1, ensur</w:t>
      </w:r>
      <w:r w:rsidRPr="0079781D">
        <w:rPr>
          <w:bCs/>
          <w:color w:val="010000"/>
          <w:lang w:val="en-US"/>
        </w:rPr>
        <w:t>ing</w:t>
      </w:r>
      <w:r w:rsidRPr="0079781D">
        <w:rPr>
          <w:bCs/>
          <w:color w:val="010000"/>
        </w:rPr>
        <w:t xml:space="preserve"> compliance with </w:t>
      </w:r>
      <w:r w:rsidR="00C45864">
        <w:rPr>
          <w:bCs/>
          <w:color w:val="010000"/>
          <w:lang w:val="en-US"/>
        </w:rPr>
        <w:t>applicable</w:t>
      </w:r>
      <w:r w:rsidRPr="0079781D">
        <w:rPr>
          <w:bCs/>
          <w:color w:val="010000"/>
        </w:rPr>
        <w:t xml:space="preserve"> laws and regulations of the Company.</w:t>
      </w:r>
    </w:p>
    <w:p w14:paraId="311AD674" w14:textId="247A5323" w:rsidR="00D0005B" w:rsidRPr="0079781D" w:rsidRDefault="00D0005B" w:rsidP="00625B09">
      <w:pPr>
        <w:pStyle w:val="Vnbnnidung0"/>
        <w:tabs>
          <w:tab w:val="left" w:pos="432"/>
        </w:tabs>
        <w:spacing w:after="120" w:line="360" w:lineRule="auto"/>
        <w:jc w:val="both"/>
        <w:rPr>
          <w:bCs/>
          <w:color w:val="010000"/>
          <w:lang w:val="en-US"/>
        </w:rPr>
      </w:pPr>
      <w:r w:rsidRPr="0079781D">
        <w:rPr>
          <w:bCs/>
          <w:color w:val="010000"/>
        </w:rPr>
        <w:lastRenderedPageBreak/>
        <w:t xml:space="preserve">Article 3: </w:t>
      </w:r>
      <w:r w:rsidRPr="0079781D">
        <w:rPr>
          <w:bCs/>
          <w:color w:val="010000"/>
          <w:lang w:val="en-US"/>
        </w:rPr>
        <w:t>Terms of enforcement</w:t>
      </w:r>
    </w:p>
    <w:p w14:paraId="6DA1FF13" w14:textId="4E447058" w:rsidR="00D0005B" w:rsidRPr="0079781D" w:rsidRDefault="00D0005B" w:rsidP="00625B09">
      <w:pPr>
        <w:pStyle w:val="Vnbnnidung0"/>
        <w:tabs>
          <w:tab w:val="left" w:pos="432"/>
        </w:tabs>
        <w:spacing w:after="120" w:line="360" w:lineRule="auto"/>
        <w:jc w:val="both"/>
        <w:rPr>
          <w:bCs/>
          <w:color w:val="010000"/>
        </w:rPr>
      </w:pPr>
      <w:r w:rsidRPr="0079781D">
        <w:rPr>
          <w:bCs/>
          <w:color w:val="010000"/>
        </w:rPr>
        <w:t>This</w:t>
      </w:r>
      <w:r w:rsidR="00C45864">
        <w:rPr>
          <w:bCs/>
          <w:color w:val="010000"/>
          <w:lang w:val="en-US"/>
        </w:rPr>
        <w:t xml:space="preserve"> Board</w:t>
      </w:r>
      <w:r w:rsidRPr="0079781D">
        <w:rPr>
          <w:bCs/>
          <w:color w:val="010000"/>
        </w:rPr>
        <w:t xml:space="preserve"> Resolution takes effect from the date of</w:t>
      </w:r>
      <w:r w:rsidR="004B4D29" w:rsidRPr="0079781D">
        <w:rPr>
          <w:bCs/>
          <w:color w:val="010000"/>
          <w:lang w:val="en-US"/>
        </w:rPr>
        <w:t xml:space="preserve"> its</w:t>
      </w:r>
      <w:r w:rsidRPr="0079781D">
        <w:rPr>
          <w:bCs/>
          <w:color w:val="010000"/>
        </w:rPr>
        <w:t xml:space="preserve"> signing.</w:t>
      </w:r>
    </w:p>
    <w:p w14:paraId="7AA17CC5" w14:textId="205398AC" w:rsidR="00F65345" w:rsidRPr="0079781D" w:rsidRDefault="00D0005B" w:rsidP="00625B09">
      <w:pPr>
        <w:pStyle w:val="Vnbnnidung0"/>
        <w:tabs>
          <w:tab w:val="left" w:pos="432"/>
        </w:tabs>
        <w:spacing w:after="120" w:line="360" w:lineRule="auto"/>
        <w:jc w:val="both"/>
        <w:rPr>
          <w:color w:val="010000"/>
          <w:lang w:val="en-US"/>
        </w:rPr>
      </w:pPr>
      <w:r w:rsidRPr="0079781D">
        <w:rPr>
          <w:bCs/>
          <w:color w:val="010000"/>
        </w:rPr>
        <w:t xml:space="preserve">Members of the Board of Directors, </w:t>
      </w:r>
      <w:r w:rsidR="00C45864">
        <w:rPr>
          <w:bCs/>
          <w:color w:val="010000"/>
          <w:lang w:val="en-US"/>
        </w:rPr>
        <w:t>Managing Director,</w:t>
      </w:r>
      <w:r w:rsidR="004B4D29" w:rsidRPr="0079781D">
        <w:rPr>
          <w:bCs/>
          <w:color w:val="010000"/>
          <w:lang w:val="en-US"/>
        </w:rPr>
        <w:t xml:space="preserve"> </w:t>
      </w:r>
      <w:r w:rsidRPr="0079781D">
        <w:rPr>
          <w:bCs/>
          <w:color w:val="010000"/>
        </w:rPr>
        <w:t xml:space="preserve">Deputy </w:t>
      </w:r>
      <w:r w:rsidR="00C45864">
        <w:rPr>
          <w:bCs/>
          <w:color w:val="010000"/>
          <w:lang w:val="en-US"/>
        </w:rPr>
        <w:t>Managing Director</w:t>
      </w:r>
      <w:r w:rsidRPr="0079781D">
        <w:rPr>
          <w:bCs/>
          <w:color w:val="010000"/>
        </w:rPr>
        <w:t xml:space="preserve">, </w:t>
      </w:r>
      <w:bookmarkStart w:id="0" w:name="_GoBack"/>
      <w:bookmarkEnd w:id="0"/>
      <w:r w:rsidRPr="0079781D">
        <w:rPr>
          <w:bCs/>
          <w:color w:val="010000"/>
        </w:rPr>
        <w:t>Chief Accountant, Departments of the Company and related units are responsible for implementing this Resolution.</w:t>
      </w:r>
    </w:p>
    <w:sectPr w:rsidR="00F65345" w:rsidRPr="0079781D" w:rsidSect="0079781D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2B53" w14:textId="77777777" w:rsidR="00E34EC1" w:rsidRDefault="00E34EC1">
      <w:r>
        <w:separator/>
      </w:r>
    </w:p>
  </w:endnote>
  <w:endnote w:type="continuationSeparator" w:id="0">
    <w:p w14:paraId="44688420" w14:textId="77777777" w:rsidR="00E34EC1" w:rsidRDefault="00E3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6581A" w14:textId="77777777" w:rsidR="00E34EC1" w:rsidRDefault="00E34EC1"/>
  </w:footnote>
  <w:footnote w:type="continuationSeparator" w:id="0">
    <w:p w14:paraId="3E926CBA" w14:textId="77777777" w:rsidR="00E34EC1" w:rsidRDefault="00E34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6A"/>
    <w:multiLevelType w:val="hybridMultilevel"/>
    <w:tmpl w:val="BADE6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936"/>
    <w:multiLevelType w:val="hybridMultilevel"/>
    <w:tmpl w:val="1CAEC676"/>
    <w:lvl w:ilvl="0" w:tplc="0E52B2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E32A5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23CE0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7FF"/>
    <w:multiLevelType w:val="multilevel"/>
    <w:tmpl w:val="EF6CA3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A3774"/>
    <w:multiLevelType w:val="hybridMultilevel"/>
    <w:tmpl w:val="CB9A54F4"/>
    <w:lvl w:ilvl="0" w:tplc="C2A49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49C80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6B1C9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4697"/>
    <w:multiLevelType w:val="multilevel"/>
    <w:tmpl w:val="238E69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A212E"/>
    <w:multiLevelType w:val="multilevel"/>
    <w:tmpl w:val="824291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36473"/>
    <w:multiLevelType w:val="multilevel"/>
    <w:tmpl w:val="7EA053D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45"/>
    <w:rsid w:val="00053948"/>
    <w:rsid w:val="000E1210"/>
    <w:rsid w:val="00435588"/>
    <w:rsid w:val="004B4D29"/>
    <w:rsid w:val="00625B09"/>
    <w:rsid w:val="0079781D"/>
    <w:rsid w:val="00BB0345"/>
    <w:rsid w:val="00C45864"/>
    <w:rsid w:val="00D0005B"/>
    <w:rsid w:val="00E34EC1"/>
    <w:rsid w:val="00F65345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29DDC"/>
  <w15:docId w15:val="{8EDD6BD4-4294-4658-8D01-091F415C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Arial" w:eastAsia="Arial" w:hAnsi="Arial" w:cs="Arial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</w:rPr>
  </w:style>
  <w:style w:type="paragraph" w:customStyle="1" w:styleId="Tiu30">
    <w:name w:val="Tiêu đề #3"/>
    <w:basedOn w:val="Normal"/>
    <w:link w:val="Tiu3"/>
    <w:pPr>
      <w:spacing w:line="319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firstLine="280"/>
    </w:pPr>
    <w:rPr>
      <w:rFonts w:ascii="Arial" w:eastAsia="Arial" w:hAnsi="Arial" w:cs="Arial"/>
      <w:sz w:val="16"/>
      <w:szCs w:val="16"/>
    </w:rPr>
  </w:style>
  <w:style w:type="paragraph" w:customStyle="1" w:styleId="Tiu20">
    <w:name w:val="Tiêu đề #2"/>
    <w:basedOn w:val="Normal"/>
    <w:link w:val="Tiu2"/>
    <w:pPr>
      <w:ind w:left="400" w:firstLine="40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000000013341055_TB_danh_sach_CD_DHDCD_2024.signed.pdf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000000013341055_TB_danh_sach_CD_DHDCD_2024.signed.pdf</dc:title>
  <dc:subject/>
  <dc:creator>Minh Hi¿u</dc:creator>
  <cp:keywords/>
  <cp:lastModifiedBy>Nguyen Duc Quan</cp:lastModifiedBy>
  <cp:revision>2</cp:revision>
  <dcterms:created xsi:type="dcterms:W3CDTF">2024-02-05T08:32:00Z</dcterms:created>
  <dcterms:modified xsi:type="dcterms:W3CDTF">2024-02-05T08:32:00Z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b87f5aa3f21b3bab8fa821bf8d7b9cc486e1636abc17d49de69a15a99f5aa08b</vt:lpwstr>
  </property>
</Properties>
</file>