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31A8" w14:textId="77777777" w:rsidR="003C0276" w:rsidRDefault="003922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VHE: Annual Corporate Governance Report 2023</w:t>
      </w:r>
    </w:p>
    <w:p w14:paraId="39D8DCA3" w14:textId="77777777" w:rsidR="003C0276" w:rsidRDefault="003922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Vinaherbfoods Joint Stock Company announced Report No. 2901/2024/BCQT-VHE on the corporate governance in 2023 as follows: </w:t>
      </w:r>
    </w:p>
    <w:p w14:paraId="4F95348D" w14:textId="77777777" w:rsidR="003C0276" w:rsidRDefault="003922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07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r>
        <w:rPr>
          <w:rFonts w:ascii="Arial" w:hAnsi="Arial"/>
          <w:color w:val="010000"/>
          <w:sz w:val="20"/>
        </w:rPr>
        <w:t>Vinaherbfoods Joint Stock Company</w:t>
      </w:r>
    </w:p>
    <w:p w14:paraId="2A0DEF2C" w14:textId="77777777" w:rsidR="003C0276" w:rsidRDefault="003922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277 Van Xuan Street, Ha Mo Commune, </w:t>
      </w:r>
      <w:r>
        <w:rPr>
          <w:rFonts w:ascii="Arial" w:hAnsi="Arial"/>
          <w:color w:val="010000"/>
          <w:sz w:val="20"/>
        </w:rPr>
        <w:t>Dan Phuong District, Hanoi City</w:t>
      </w:r>
    </w:p>
    <w:p w14:paraId="739D3EAD" w14:textId="77777777" w:rsidR="003C0276" w:rsidRDefault="003922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32"/>
          <w:tab w:val="left" w:pos="487"/>
          <w:tab w:val="left" w:pos="58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024 33816999 Fax: 024 3381699</w:t>
      </w:r>
    </w:p>
    <w:p w14:paraId="727A6EED" w14:textId="77777777" w:rsidR="003C0276" w:rsidRDefault="003922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07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congbothongtin@vinaherbfoods.com</w:t>
        </w:r>
      </w:hyperlink>
    </w:p>
    <w:p w14:paraId="5DFE7282" w14:textId="77777777" w:rsidR="003C0276" w:rsidRDefault="003922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07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331,400,000,000</w:t>
      </w:r>
    </w:p>
    <w:p w14:paraId="057BBB2C" w14:textId="77777777" w:rsidR="003C0276" w:rsidRDefault="003922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07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VHE</w:t>
      </w:r>
    </w:p>
    <w:p w14:paraId="76C84792" w14:textId="77777777" w:rsidR="003C0276" w:rsidRDefault="003922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07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7C6E9BE7" w14:textId="77777777" w:rsidR="003C0276" w:rsidRDefault="003922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of Shareholders, the Board of Directors, the General Manager/Manager and the Audit Committee under the Board of Directors.</w:t>
      </w:r>
    </w:p>
    <w:p w14:paraId="3A5FF477" w14:textId="77777777" w:rsidR="003C0276" w:rsidRDefault="003922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Internal audit execution: </w:t>
      </w:r>
      <w:r>
        <w:rPr>
          <w:rFonts w:ascii="Arial" w:hAnsi="Arial"/>
          <w:color w:val="010000"/>
          <w:sz w:val="20"/>
        </w:rPr>
        <w:t>Unimplemented (will be implemented in 2024)</w:t>
      </w:r>
    </w:p>
    <w:p w14:paraId="0E324357" w14:textId="77777777" w:rsidR="003C0276" w:rsidRDefault="0039228A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394E065F" w14:textId="77777777" w:rsidR="003C0276" w:rsidRDefault="003922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General Meeting of Shareholders (including General Mandates approved by collecting opinions via </w:t>
      </w:r>
      <w:r>
        <w:rPr>
          <w:rFonts w:ascii="Arial" w:hAnsi="Arial"/>
          <w:color w:val="010000"/>
          <w:sz w:val="20"/>
        </w:rPr>
        <w:t>a ballot):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570"/>
        <w:gridCol w:w="1531"/>
        <w:gridCol w:w="4215"/>
      </w:tblGrid>
      <w:tr w:rsidR="003C0276" w14:paraId="7D4960B6" w14:textId="77777777">
        <w:tc>
          <w:tcPr>
            <w:tcW w:w="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732F9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B206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5B2E8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2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D3DD2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3C0276" w14:paraId="43221538" w14:textId="77777777">
        <w:tc>
          <w:tcPr>
            <w:tcW w:w="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0304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7C85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0304.2023/NQ-DHDCD/VHE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E6BB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42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6DA05" w14:textId="77777777" w:rsidR="003C0276" w:rsidRDefault="0039228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activities of the Board of Directors in 2022 and the orientation in 2023</w:t>
            </w:r>
          </w:p>
          <w:p w14:paraId="7686AE95" w14:textId="77777777" w:rsidR="003C0276" w:rsidRDefault="0039228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Management on the production and business results in 2022 and 2023 plan</w:t>
            </w:r>
          </w:p>
          <w:p w14:paraId="27E46FE2" w14:textId="77777777" w:rsidR="003C0276" w:rsidRDefault="0039228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Audited Financial Statements 2022</w:t>
            </w:r>
          </w:p>
          <w:p w14:paraId="01A4FE5B" w14:textId="77777777" w:rsidR="003C0276" w:rsidRDefault="0039228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left" w:pos="432"/>
                <w:tab w:val="left" w:pos="5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</w:t>
            </w:r>
            <w:r>
              <w:rPr>
                <w:rFonts w:ascii="Arial" w:hAnsi="Arial"/>
                <w:color w:val="010000"/>
                <w:sz w:val="20"/>
              </w:rPr>
              <w:t>the profit distribution in 2022 and the plan on profit distribution in 2023;</w:t>
            </w:r>
          </w:p>
          <w:p w14:paraId="31BEA6F3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7A179377" w14:textId="77777777" w:rsidR="003C0276" w:rsidRDefault="003922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remuneration for the Board of Directors and the Audit Committee in 2022 and 2023 plan</w:t>
            </w:r>
          </w:p>
          <w:p w14:paraId="758123BE" w14:textId="77777777" w:rsidR="003C0276" w:rsidRDefault="003C02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3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76451AA5" w14:textId="77777777" w:rsidR="003C0276" w:rsidRDefault="003922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Approve the selection of an independent audit company to audit the Financial Statements for the fiscal year 2023</w:t>
            </w:r>
          </w:p>
          <w:p w14:paraId="541C1810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54D3FBD9" w14:textId="77777777" w:rsidR="003C0276" w:rsidRDefault="003922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investment transactions in raw mate</w:t>
            </w:r>
            <w:r>
              <w:rPr>
                <w:rFonts w:ascii="Arial" w:hAnsi="Arial"/>
                <w:color w:val="010000"/>
                <w:sz w:val="20"/>
              </w:rPr>
              <w:t>rial areas and export processing factories with a value of not more than VND 150 billion</w:t>
            </w:r>
          </w:p>
          <w:p w14:paraId="63718C19" w14:textId="77777777" w:rsidR="003C0276" w:rsidRDefault="003922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authorization for the Board of Directors to approve/decide on capital borrowing mobilization with a maximum total limit of VND 200 billion</w:t>
            </w:r>
          </w:p>
          <w:p w14:paraId="161873E0" w14:textId="77777777" w:rsidR="003C0276" w:rsidRDefault="0039228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amendment and supplement to the Company's Charter on organization and operation and Internal </w:t>
            </w:r>
            <w:r>
              <w:rPr>
                <w:rFonts w:ascii="Arial" w:hAnsi="Arial"/>
                <w:color w:val="010000"/>
                <w:sz w:val="20"/>
              </w:rPr>
              <w:t>Regulations on Corporate Governance.</w:t>
            </w:r>
          </w:p>
        </w:tc>
      </w:tr>
    </w:tbl>
    <w:p w14:paraId="0D94CBB4" w14:textId="77777777" w:rsidR="003C0276" w:rsidRDefault="0039228A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The Board of Directors (Annual Report/2023):</w:t>
      </w:r>
    </w:p>
    <w:p w14:paraId="2057815F" w14:textId="77777777" w:rsidR="003C0276" w:rsidRDefault="003922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572"/>
        <w:gridCol w:w="2680"/>
        <w:gridCol w:w="2137"/>
        <w:gridCol w:w="1751"/>
        <w:gridCol w:w="1877"/>
      </w:tblGrid>
      <w:tr w:rsidR="003C0276" w14:paraId="5B0ADBAD" w14:textId="77777777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AF03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DDAC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FB12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B23D7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members of the Board of Directors</w:t>
            </w:r>
          </w:p>
        </w:tc>
      </w:tr>
      <w:tr w:rsidR="003C0276" w14:paraId="4322EE7E" w14:textId="77777777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A5D41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8658D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C8B05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E0C85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30BA7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3C0276" w14:paraId="6E949AD4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43609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9BE1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Tien Vinh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DD1B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257A2" w14:textId="497FBC8F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19, 2021, new term </w:t>
            </w:r>
            <w:r w:rsidR="007E608B">
              <w:rPr>
                <w:rFonts w:ascii="Arial" w:hAnsi="Arial"/>
                <w:color w:val="010000"/>
                <w:sz w:val="20"/>
              </w:rPr>
              <w:t>starts</w:t>
            </w:r>
            <w:r>
              <w:rPr>
                <w:rFonts w:ascii="Arial" w:hAnsi="Arial"/>
                <w:color w:val="010000"/>
                <w:sz w:val="20"/>
              </w:rPr>
              <w:t xml:space="preserve"> date (2021-2026)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89DA6" w14:textId="77777777" w:rsidR="003C0276" w:rsidRDefault="003C02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C0276" w14:paraId="0B8553C4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4B9B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48CC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The Hung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8663C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Directors-cum-General Manager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6E663" w14:textId="660B65E4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19, 2021, new term </w:t>
            </w:r>
            <w:r w:rsidR="007E608B">
              <w:rPr>
                <w:rFonts w:ascii="Arial" w:hAnsi="Arial"/>
                <w:color w:val="010000"/>
                <w:sz w:val="20"/>
              </w:rPr>
              <w:t>starts</w:t>
            </w:r>
            <w:r>
              <w:rPr>
                <w:rFonts w:ascii="Arial" w:hAnsi="Arial"/>
                <w:color w:val="010000"/>
                <w:sz w:val="20"/>
              </w:rPr>
              <w:t xml:space="preserve"> date (2021-2026)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12E98" w14:textId="77777777" w:rsidR="003C0276" w:rsidRDefault="003C02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C0276" w14:paraId="29CEB1EA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B31D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2C777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Dinh Cong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ADDF9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266B5" w14:textId="00034535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19, 2021, new term </w:t>
            </w:r>
            <w:r w:rsidR="007E608B">
              <w:rPr>
                <w:rFonts w:ascii="Arial" w:hAnsi="Arial"/>
                <w:color w:val="010000"/>
                <w:sz w:val="20"/>
              </w:rPr>
              <w:t>starts</w:t>
            </w:r>
            <w:r>
              <w:rPr>
                <w:rFonts w:ascii="Arial" w:hAnsi="Arial"/>
                <w:color w:val="010000"/>
                <w:sz w:val="20"/>
              </w:rPr>
              <w:t xml:space="preserve"> date (2021-2026)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B1201" w14:textId="77777777" w:rsidR="003C0276" w:rsidRDefault="003C02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C0276" w14:paraId="67A8DC17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C3A17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D8DA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Tai Duc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F03FA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840EC" w14:textId="3A3AA2CB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19, 2021, new term </w:t>
            </w:r>
            <w:r w:rsidR="007E608B">
              <w:rPr>
                <w:rFonts w:ascii="Arial" w:hAnsi="Arial"/>
                <w:color w:val="010000"/>
                <w:sz w:val="20"/>
              </w:rPr>
              <w:t>starts</w:t>
            </w:r>
            <w:r>
              <w:rPr>
                <w:rFonts w:ascii="Arial" w:hAnsi="Arial"/>
                <w:color w:val="010000"/>
                <w:sz w:val="20"/>
              </w:rPr>
              <w:t xml:space="preserve"> date (2021-2026)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F72ED" w14:textId="77777777" w:rsidR="003C0276" w:rsidRDefault="003C02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C0276" w14:paraId="623F783B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05112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2FCE7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Nhat Thanh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CE9D5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367E6" w14:textId="16F4F00F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26, 2022, new term </w:t>
            </w:r>
            <w:r w:rsidR="007E608B">
              <w:rPr>
                <w:rFonts w:ascii="Arial" w:hAnsi="Arial"/>
                <w:color w:val="010000"/>
                <w:sz w:val="20"/>
              </w:rPr>
              <w:t>starts</w:t>
            </w:r>
            <w:r>
              <w:rPr>
                <w:rFonts w:ascii="Arial" w:hAnsi="Arial"/>
                <w:color w:val="010000"/>
                <w:sz w:val="20"/>
              </w:rPr>
              <w:t xml:space="preserve"> date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(2021-2026)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59C07" w14:textId="77777777" w:rsidR="003C0276" w:rsidRDefault="003C027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7F45869" w14:textId="6CFE04E3" w:rsidR="003C0276" w:rsidRDefault="003922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7E608B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(Semi-annual Report/2023):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743"/>
        <w:gridCol w:w="1497"/>
        <w:gridCol w:w="4040"/>
      </w:tblGrid>
      <w:tr w:rsidR="003C0276" w14:paraId="4497FDE9" w14:textId="77777777">
        <w:tc>
          <w:tcPr>
            <w:tcW w:w="7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079FB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450C0" w14:textId="5F70D34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Resolution/Board </w:t>
            </w:r>
            <w:r>
              <w:rPr>
                <w:rFonts w:ascii="Arial" w:hAnsi="Arial"/>
                <w:color w:val="010000"/>
                <w:sz w:val="20"/>
              </w:rPr>
              <w:t>Decision No.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AA2EE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93B62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3C0276" w14:paraId="2B7705CA" w14:textId="77777777">
        <w:tc>
          <w:tcPr>
            <w:tcW w:w="7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4AF49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53C9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1402/2023-NQ/HDQT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33C9B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14, 2023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903E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organizing the Annual General Meeting of Shareholders in 2023</w:t>
            </w:r>
          </w:p>
        </w:tc>
      </w:tr>
      <w:tr w:rsidR="003C0276" w14:paraId="3787D5A2" w14:textId="77777777">
        <w:tc>
          <w:tcPr>
            <w:tcW w:w="7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5E68F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ABD1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1508/2023-NQ/HDQT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3E2BB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E0A8E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purchasing shares of Yenbai Herbs And Foods Joint Stock Company</w:t>
            </w:r>
          </w:p>
        </w:tc>
      </w:tr>
    </w:tbl>
    <w:p w14:paraId="711B7ED7" w14:textId="77777777" w:rsidR="003C0276" w:rsidRDefault="003922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Audit Committee (Annual Report 2023)</w:t>
      </w:r>
    </w:p>
    <w:p w14:paraId="46DDF9E3" w14:textId="77777777" w:rsidR="003C0276" w:rsidRDefault="003922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Audit Committee: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317"/>
        <w:gridCol w:w="3214"/>
        <w:gridCol w:w="1677"/>
        <w:gridCol w:w="1295"/>
      </w:tblGrid>
      <w:tr w:rsidR="003C0276" w14:paraId="2D83906D" w14:textId="77777777">
        <w:tc>
          <w:tcPr>
            <w:tcW w:w="5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8560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8245A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Audit Committee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76F2E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1136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Audit Committee</w:t>
            </w:r>
          </w:p>
          <w:p w14:paraId="38C2FCAA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3C4D9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3C0276" w14:paraId="5BC59668" w14:textId="77777777">
        <w:tc>
          <w:tcPr>
            <w:tcW w:w="5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8660A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F493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Dinh Cong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812E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Audit Committee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9040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2021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D370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3C0276" w14:paraId="530CD771" w14:textId="77777777">
        <w:tc>
          <w:tcPr>
            <w:tcW w:w="5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805D3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4402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Tai Duc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CE89C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Audit Committee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49278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2021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3F1B7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12/12</w:t>
            </w:r>
          </w:p>
        </w:tc>
      </w:tr>
    </w:tbl>
    <w:p w14:paraId="2EB1DB59" w14:textId="77777777" w:rsidR="003C0276" w:rsidRDefault="003922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53"/>
        <w:gridCol w:w="1733"/>
        <w:gridCol w:w="1347"/>
        <w:gridCol w:w="2417"/>
      </w:tblGrid>
      <w:tr w:rsidR="003C0276" w14:paraId="0DDE481C" w14:textId="77777777"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8C23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0A75B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11803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30FA5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BFDA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3C0276" w14:paraId="71A65055" w14:textId="77777777"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1113F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F64C5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The Hung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9ACF7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1985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D399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69EEE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April 19, 2021</w:t>
            </w:r>
          </w:p>
          <w:p w14:paraId="01DC0B33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C0276" w14:paraId="6BB65E03" w14:textId="77777777"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4BE8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EE06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Anh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34CDF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16, 1989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8DA42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9E83F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June 20, 2022</w:t>
            </w:r>
          </w:p>
          <w:p w14:paraId="707FA3A8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E418E34" w14:textId="77777777" w:rsidR="003C0276" w:rsidRDefault="003922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1475"/>
        <w:gridCol w:w="2821"/>
        <w:gridCol w:w="2415"/>
      </w:tblGrid>
      <w:tr w:rsidR="003C0276" w14:paraId="64261CA7" w14:textId="77777777">
        <w:tc>
          <w:tcPr>
            <w:tcW w:w="2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93722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4EFD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0DDF3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F6F8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3C0276" w14:paraId="181BA343" w14:textId="77777777">
        <w:tc>
          <w:tcPr>
            <w:tcW w:w="2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62B1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Anh</w:t>
            </w:r>
          </w:p>
        </w:tc>
        <w:tc>
          <w:tcPr>
            <w:tcW w:w="1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F7422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16, 1989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71C56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Bachelor of Business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Accounting, University of Mining and Geology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6DCD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Appointed on June 20,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2022</w:t>
            </w:r>
          </w:p>
          <w:p w14:paraId="5504116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2022</w:t>
            </w:r>
          </w:p>
        </w:tc>
      </w:tr>
    </w:tbl>
    <w:p w14:paraId="7752FFD4" w14:textId="77777777" w:rsidR="003C0276" w:rsidRDefault="0039228A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Training on corporate governance:</w:t>
      </w:r>
    </w:p>
    <w:p w14:paraId="462D5496" w14:textId="77777777" w:rsidR="003C0276" w:rsidRDefault="003922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public company (Annual Report 2023) and transactions between affiliated persons of the Company and the Company itself</w:t>
      </w:r>
    </w:p>
    <w:p w14:paraId="5412DFF9" w14:textId="77777777" w:rsidR="003C0276" w:rsidRDefault="003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persons of the Company</w:t>
      </w:r>
      <w:r>
        <w:rPr>
          <w:rFonts w:ascii="Arial" w:hAnsi="Arial"/>
          <w:color w:val="010000"/>
          <w:sz w:val="20"/>
        </w:rPr>
        <w:t>; or between the Company and major shareholders, PDMR, affiliated persons of PDMR: None</w:t>
      </w:r>
    </w:p>
    <w:p w14:paraId="7327395B" w14:textId="77777777" w:rsidR="003C0276" w:rsidRDefault="003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Company’s PDMR, affiliated persons of PDMR and subsidiaries, companies controlled by the Company: None.</w:t>
      </w:r>
    </w:p>
    <w:p w14:paraId="42D05976" w14:textId="77777777" w:rsidR="003C0276" w:rsidRDefault="003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4E04D204" w14:textId="77777777" w:rsidR="003C0276" w:rsidRDefault="003922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affiliated persons of PDMR (Annual Rep</w:t>
      </w:r>
      <w:r>
        <w:rPr>
          <w:rFonts w:ascii="Arial" w:hAnsi="Arial"/>
          <w:color w:val="010000"/>
          <w:sz w:val="20"/>
        </w:rPr>
        <w:t>ort 2023)</w:t>
      </w:r>
    </w:p>
    <w:p w14:paraId="29F9CE9A" w14:textId="77777777" w:rsidR="003C0276" w:rsidRDefault="003922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Company’s share transactions of PDMR and affiliated persons: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"/>
        <w:gridCol w:w="1470"/>
        <w:gridCol w:w="1638"/>
        <w:gridCol w:w="1106"/>
        <w:gridCol w:w="795"/>
        <w:gridCol w:w="1106"/>
        <w:gridCol w:w="880"/>
        <w:gridCol w:w="1427"/>
      </w:tblGrid>
      <w:tr w:rsidR="003C0276" w14:paraId="407BE2CC" w14:textId="77777777">
        <w:tc>
          <w:tcPr>
            <w:tcW w:w="595" w:type="dxa"/>
            <w:vAlign w:val="center"/>
          </w:tcPr>
          <w:p w14:paraId="6F77BA0B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70" w:type="dxa"/>
            <w:vAlign w:val="center"/>
          </w:tcPr>
          <w:p w14:paraId="5F29188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638" w:type="dxa"/>
            <w:vAlign w:val="center"/>
          </w:tcPr>
          <w:p w14:paraId="469DE4E7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Position/Relations with PDMR</w:t>
            </w:r>
          </w:p>
        </w:tc>
        <w:tc>
          <w:tcPr>
            <w:tcW w:w="1901" w:type="dxa"/>
            <w:gridSpan w:val="2"/>
            <w:vAlign w:val="center"/>
          </w:tcPr>
          <w:p w14:paraId="32635C2B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986" w:type="dxa"/>
            <w:gridSpan w:val="2"/>
            <w:vAlign w:val="center"/>
          </w:tcPr>
          <w:p w14:paraId="28D3A6D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427" w:type="dxa"/>
            <w:vMerge w:val="restart"/>
            <w:vAlign w:val="center"/>
          </w:tcPr>
          <w:p w14:paraId="5AB3D84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of changing</w:t>
            </w:r>
          </w:p>
        </w:tc>
      </w:tr>
      <w:tr w:rsidR="003C0276" w14:paraId="69F0B146" w14:textId="77777777">
        <w:tc>
          <w:tcPr>
            <w:tcW w:w="595" w:type="dxa"/>
            <w:vAlign w:val="center"/>
          </w:tcPr>
          <w:p w14:paraId="6BB873E3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1E42CC1E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39D7019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9E2105A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795" w:type="dxa"/>
            <w:vAlign w:val="center"/>
          </w:tcPr>
          <w:p w14:paraId="009A190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%</w:t>
            </w:r>
          </w:p>
        </w:tc>
        <w:tc>
          <w:tcPr>
            <w:tcW w:w="1106" w:type="dxa"/>
            <w:vAlign w:val="center"/>
          </w:tcPr>
          <w:p w14:paraId="32BFBEB9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880" w:type="dxa"/>
            <w:vAlign w:val="center"/>
          </w:tcPr>
          <w:p w14:paraId="01047F2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%</w:t>
            </w:r>
          </w:p>
        </w:tc>
        <w:tc>
          <w:tcPr>
            <w:tcW w:w="1427" w:type="dxa"/>
            <w:vMerge/>
            <w:vAlign w:val="center"/>
          </w:tcPr>
          <w:p w14:paraId="248DAB48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C0276" w14:paraId="5CC15318" w14:textId="77777777">
        <w:tc>
          <w:tcPr>
            <w:tcW w:w="9017" w:type="dxa"/>
            <w:gridSpan w:val="8"/>
            <w:vAlign w:val="center"/>
          </w:tcPr>
          <w:p w14:paraId="51CDBC65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I. PDMR</w:t>
            </w:r>
          </w:p>
        </w:tc>
      </w:tr>
      <w:tr w:rsidR="003C0276" w14:paraId="3DA09E6D" w14:textId="77777777">
        <w:tc>
          <w:tcPr>
            <w:tcW w:w="595" w:type="dxa"/>
            <w:vAlign w:val="center"/>
          </w:tcPr>
          <w:p w14:paraId="7F9DA8D7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5E633A3D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Bui Tien Vinh</w:t>
            </w:r>
          </w:p>
        </w:tc>
        <w:tc>
          <w:tcPr>
            <w:tcW w:w="1638" w:type="dxa"/>
            <w:vAlign w:val="center"/>
          </w:tcPr>
          <w:p w14:paraId="1FBE130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106" w:type="dxa"/>
            <w:vAlign w:val="center"/>
          </w:tcPr>
          <w:p w14:paraId="59EB9C7F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1,420,000</w:t>
            </w:r>
          </w:p>
        </w:tc>
        <w:tc>
          <w:tcPr>
            <w:tcW w:w="795" w:type="dxa"/>
            <w:vAlign w:val="center"/>
          </w:tcPr>
          <w:p w14:paraId="3EDFA880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4.28%</w:t>
            </w:r>
          </w:p>
        </w:tc>
        <w:tc>
          <w:tcPr>
            <w:tcW w:w="1106" w:type="dxa"/>
            <w:vAlign w:val="center"/>
          </w:tcPr>
          <w:p w14:paraId="255013B6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2,420,000</w:t>
            </w:r>
          </w:p>
        </w:tc>
        <w:tc>
          <w:tcPr>
            <w:tcW w:w="880" w:type="dxa"/>
            <w:vAlign w:val="center"/>
          </w:tcPr>
          <w:p w14:paraId="0C110576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7.3%</w:t>
            </w:r>
          </w:p>
        </w:tc>
        <w:tc>
          <w:tcPr>
            <w:tcW w:w="1427" w:type="dxa"/>
            <w:vAlign w:val="center"/>
          </w:tcPr>
          <w:p w14:paraId="040B394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Register for purchase</w:t>
            </w:r>
          </w:p>
        </w:tc>
      </w:tr>
      <w:tr w:rsidR="003C0276" w14:paraId="2096BC57" w14:textId="77777777">
        <w:tc>
          <w:tcPr>
            <w:tcW w:w="9017" w:type="dxa"/>
            <w:gridSpan w:val="8"/>
            <w:vAlign w:val="center"/>
          </w:tcPr>
          <w:p w14:paraId="55EA8254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II. </w:t>
            </w:r>
            <w:r>
              <w:rPr>
                <w:rFonts w:ascii="Arial" w:hAnsi="Arial"/>
                <w:sz w:val="20"/>
              </w:rPr>
              <w:t>Affiliated person - Position:</w:t>
            </w:r>
          </w:p>
        </w:tc>
      </w:tr>
      <w:tr w:rsidR="003C0276" w14:paraId="673BE85B" w14:textId="77777777">
        <w:tc>
          <w:tcPr>
            <w:tcW w:w="595" w:type="dxa"/>
            <w:vAlign w:val="center"/>
          </w:tcPr>
          <w:p w14:paraId="51C417B1" w14:textId="77777777" w:rsidR="003C0276" w:rsidRDefault="0039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6ACDC314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2C1D80A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189E88E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2AB38DE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DB1A013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1256C376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5952F14" w14:textId="77777777" w:rsidR="003C0276" w:rsidRDefault="003C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04DDFF3" w14:textId="77777777" w:rsidR="003C0276" w:rsidRDefault="003922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3C027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151E"/>
    <w:multiLevelType w:val="multilevel"/>
    <w:tmpl w:val="AC3CEA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212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0D26A7"/>
    <w:multiLevelType w:val="multilevel"/>
    <w:tmpl w:val="2D36B6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212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463AB6"/>
    <w:multiLevelType w:val="multilevel"/>
    <w:tmpl w:val="178E2A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212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A92172"/>
    <w:multiLevelType w:val="multilevel"/>
    <w:tmpl w:val="B9CC71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212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D2521D"/>
    <w:multiLevelType w:val="multilevel"/>
    <w:tmpl w:val="D27EA2C2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CB5"/>
    <w:multiLevelType w:val="multilevel"/>
    <w:tmpl w:val="6122B7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4BC73A9"/>
    <w:multiLevelType w:val="multilevel"/>
    <w:tmpl w:val="D99266F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21213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C347A6E"/>
    <w:multiLevelType w:val="multilevel"/>
    <w:tmpl w:val="39B41B4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C256BE"/>
    <w:multiLevelType w:val="multilevel"/>
    <w:tmpl w:val="F9AE3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C61D7"/>
    <w:multiLevelType w:val="multilevel"/>
    <w:tmpl w:val="8EAC0094"/>
    <w:lvl w:ilvl="0">
      <w:start w:val="202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212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A991053"/>
    <w:multiLevelType w:val="multilevel"/>
    <w:tmpl w:val="FD16E5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212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76"/>
    <w:rsid w:val="0039228A"/>
    <w:rsid w:val="003C0276"/>
    <w:rsid w:val="007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45FD"/>
  <w15:docId w15:val="{518A3B18-9C38-448D-9138-83E4806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D617E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ED617E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213"/>
      <w:sz w:val="34"/>
      <w:szCs w:val="34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color w:val="121213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ED617E"/>
      <w:sz w:val="20"/>
      <w:szCs w:val="20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color w:val="ED617E"/>
    </w:rPr>
  </w:style>
  <w:style w:type="paragraph" w:customStyle="1" w:styleId="Bodytext20">
    <w:name w:val="Body text (2)"/>
    <w:basedOn w:val="Normal"/>
    <w:link w:val="Bodytext2"/>
    <w:pPr>
      <w:ind w:firstLine="70"/>
    </w:pPr>
    <w:rPr>
      <w:rFonts w:ascii="Times New Roman" w:eastAsia="Times New Roman" w:hAnsi="Times New Roman" w:cs="Times New Roman"/>
      <w:b/>
      <w:bCs/>
      <w:color w:val="121213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59" w:lineRule="auto"/>
      <w:outlineLvl w:val="1"/>
    </w:pPr>
    <w:rPr>
      <w:rFonts w:ascii="Times New Roman" w:eastAsia="Times New Roman" w:hAnsi="Times New Roman" w:cs="Times New Roman"/>
      <w:b/>
      <w:bCs/>
      <w:color w:val="121213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21213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hanging="130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09" w:lineRule="auto"/>
      <w:ind w:left="-1300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23" w:lineRule="auto"/>
      <w:jc w:val="right"/>
      <w:outlineLvl w:val="0"/>
    </w:pPr>
    <w:rPr>
      <w:rFonts w:ascii="Times New Roman" w:eastAsia="Times New Roman" w:hAnsi="Times New Roman" w:cs="Times New Roman"/>
      <w:b/>
      <w:bCs/>
      <w:color w:val="121213"/>
      <w:sz w:val="34"/>
      <w:szCs w:val="34"/>
    </w:rPr>
  </w:style>
  <w:style w:type="table" w:styleId="TableGrid">
    <w:name w:val="Table Grid"/>
    <w:basedOn w:val="TableNormal"/>
    <w:uiPriority w:val="39"/>
    <w:rsid w:val="00E1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bothongtin@vinaherbfoo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kjTAO92Id6oRj15EhRrEBYdxfg==">CgMxLjA4AHIhMXE4ejBJcTcxOFBHVVhpS1NqbWdnVkxrR01UdUdETjc1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3</cp:revision>
  <dcterms:created xsi:type="dcterms:W3CDTF">2024-02-02T06:53:00Z</dcterms:created>
  <dcterms:modified xsi:type="dcterms:W3CDTF">2024-02-03T03:07:00Z</dcterms:modified>
</cp:coreProperties>
</file>