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74C9" w:rsidRPr="00BE55EF" w:rsidRDefault="002A1B1A" w:rsidP="002A1B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E55EF">
        <w:rPr>
          <w:rFonts w:ascii="Arial" w:hAnsi="Arial" w:cs="Arial"/>
          <w:b/>
          <w:color w:val="010000"/>
          <w:sz w:val="20"/>
        </w:rPr>
        <w:t>KSD: Board Resolution</w:t>
      </w:r>
    </w:p>
    <w:p w14:paraId="00000002" w14:textId="77777777" w:rsidR="000074C9" w:rsidRPr="00BE55EF" w:rsidRDefault="002A1B1A" w:rsidP="002A1B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55EF">
        <w:rPr>
          <w:rFonts w:ascii="Arial" w:hAnsi="Arial" w:cs="Arial"/>
          <w:color w:val="010000"/>
          <w:sz w:val="20"/>
        </w:rPr>
        <w:t>On February 1, 2024, DNA Investment Joint Stock Company announced Resolution No. 01/2024/NQ-HDQT as follows:</w:t>
      </w:r>
    </w:p>
    <w:p w14:paraId="00000003" w14:textId="77777777" w:rsidR="000074C9" w:rsidRPr="00BE55EF" w:rsidRDefault="002A1B1A" w:rsidP="002A1B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55EF">
        <w:rPr>
          <w:rFonts w:ascii="Arial" w:hAnsi="Arial" w:cs="Arial"/>
          <w:color w:val="010000"/>
          <w:sz w:val="20"/>
        </w:rPr>
        <w:t>Article 1: Approve the organization of the Annual General Meeting of Shareholders 2024</w:t>
      </w:r>
    </w:p>
    <w:p w14:paraId="00000004" w14:textId="77777777" w:rsidR="000074C9" w:rsidRPr="00BE55EF" w:rsidRDefault="002A1B1A" w:rsidP="002A1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55EF">
        <w:rPr>
          <w:rFonts w:ascii="Arial" w:hAnsi="Arial" w:cs="Arial"/>
          <w:color w:val="010000"/>
          <w:sz w:val="20"/>
        </w:rPr>
        <w:t>Record date: March 08, 2024</w:t>
      </w:r>
    </w:p>
    <w:p w14:paraId="00000005" w14:textId="77777777" w:rsidR="000074C9" w:rsidRPr="00BE55EF" w:rsidRDefault="002A1B1A" w:rsidP="002A1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55EF">
        <w:rPr>
          <w:rFonts w:ascii="Arial" w:hAnsi="Arial" w:cs="Arial"/>
          <w:color w:val="010000"/>
          <w:sz w:val="20"/>
        </w:rPr>
        <w:t>Organization time: Expected in April 2024</w:t>
      </w:r>
    </w:p>
    <w:p w14:paraId="00000006" w14:textId="77777777" w:rsidR="000074C9" w:rsidRPr="00BE55EF" w:rsidRDefault="002A1B1A" w:rsidP="002A1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55EF">
        <w:rPr>
          <w:rFonts w:ascii="Arial" w:hAnsi="Arial" w:cs="Arial"/>
          <w:color w:val="010000"/>
          <w:sz w:val="20"/>
        </w:rPr>
        <w:t>Venue: Hall of DNA Investment Joint Stock Company</w:t>
      </w:r>
    </w:p>
    <w:p w14:paraId="00000007" w14:textId="77777777" w:rsidR="000074C9" w:rsidRPr="00BE55EF" w:rsidRDefault="002A1B1A" w:rsidP="002A1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55EF">
        <w:rPr>
          <w:rFonts w:ascii="Arial" w:hAnsi="Arial" w:cs="Arial"/>
          <w:color w:val="010000"/>
          <w:sz w:val="20"/>
        </w:rPr>
        <w:t xml:space="preserve">Address: Le Chan Street, </w:t>
      </w:r>
      <w:proofErr w:type="spellStart"/>
      <w:r w:rsidRPr="00BE55EF">
        <w:rPr>
          <w:rFonts w:ascii="Arial" w:hAnsi="Arial" w:cs="Arial"/>
          <w:color w:val="010000"/>
          <w:sz w:val="20"/>
        </w:rPr>
        <w:t>Chau</w:t>
      </w:r>
      <w:proofErr w:type="spellEnd"/>
      <w:r w:rsidRPr="00BE55EF">
        <w:rPr>
          <w:rFonts w:ascii="Arial" w:hAnsi="Arial" w:cs="Arial"/>
          <w:color w:val="010000"/>
          <w:sz w:val="20"/>
        </w:rPr>
        <w:t xml:space="preserve"> Son Industrial Park, </w:t>
      </w:r>
      <w:proofErr w:type="spellStart"/>
      <w:r w:rsidRPr="00BE55EF">
        <w:rPr>
          <w:rFonts w:ascii="Arial" w:hAnsi="Arial" w:cs="Arial"/>
          <w:color w:val="010000"/>
          <w:sz w:val="20"/>
        </w:rPr>
        <w:t>Phu</w:t>
      </w:r>
      <w:proofErr w:type="spellEnd"/>
      <w:r w:rsidRPr="00BE55EF">
        <w:rPr>
          <w:rFonts w:ascii="Arial" w:hAnsi="Arial" w:cs="Arial"/>
          <w:color w:val="010000"/>
          <w:sz w:val="20"/>
        </w:rPr>
        <w:t xml:space="preserve"> Ly, Ha Nam.</w:t>
      </w:r>
    </w:p>
    <w:p w14:paraId="00000008" w14:textId="6DF2356C" w:rsidR="000074C9" w:rsidRPr="00BE55EF" w:rsidRDefault="002A1B1A" w:rsidP="002A1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55EF">
        <w:rPr>
          <w:rFonts w:ascii="Arial" w:hAnsi="Arial" w:cs="Arial"/>
          <w:color w:val="010000"/>
          <w:sz w:val="20"/>
        </w:rPr>
        <w:t>Purpose: Summarize activities in 2023, the development plans for 2024</w:t>
      </w:r>
      <w:r w:rsidR="007077C1">
        <w:rPr>
          <w:rFonts w:ascii="Arial" w:hAnsi="Arial" w:cs="Arial"/>
          <w:color w:val="010000"/>
          <w:sz w:val="20"/>
        </w:rPr>
        <w:t>,</w:t>
      </w:r>
      <w:r w:rsidRPr="00BE55EF">
        <w:rPr>
          <w:rFonts w:ascii="Arial" w:hAnsi="Arial" w:cs="Arial"/>
          <w:color w:val="010000"/>
          <w:sz w:val="20"/>
        </w:rPr>
        <w:t xml:space="preserve"> and other work under the authority of the General Meeting of Shareholders.</w:t>
      </w:r>
    </w:p>
    <w:p w14:paraId="00000009" w14:textId="77777777" w:rsidR="000074C9" w:rsidRPr="00BE55EF" w:rsidRDefault="002A1B1A" w:rsidP="002A1B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55EF">
        <w:rPr>
          <w:rFonts w:ascii="Arial" w:hAnsi="Arial" w:cs="Arial"/>
          <w:color w:val="010000"/>
          <w:sz w:val="20"/>
        </w:rPr>
        <w:t>Article 2: Authorize the Board of Management to implement other related tasks</w:t>
      </w:r>
    </w:p>
    <w:p w14:paraId="0000000A" w14:textId="77777777" w:rsidR="000074C9" w:rsidRPr="00BE55EF" w:rsidRDefault="002A1B1A" w:rsidP="002A1B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55EF">
        <w:rPr>
          <w:rFonts w:ascii="Arial" w:hAnsi="Arial" w:cs="Arial"/>
          <w:color w:val="010000"/>
          <w:sz w:val="20"/>
        </w:rPr>
        <w:t>Article 3: Terms of enforcement</w:t>
      </w:r>
    </w:p>
    <w:p w14:paraId="0000000B" w14:textId="7FF86C3D" w:rsidR="000074C9" w:rsidRPr="00BE55EF" w:rsidRDefault="002A1B1A" w:rsidP="002A1B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55EF">
        <w:rPr>
          <w:rFonts w:ascii="Arial" w:hAnsi="Arial" w:cs="Arial"/>
          <w:color w:val="010000"/>
          <w:sz w:val="20"/>
        </w:rPr>
        <w:t>Members of the Board of Directors, the Board of Management, the Chief Accountant</w:t>
      </w:r>
      <w:r w:rsidR="007077C1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BE55EF">
        <w:rPr>
          <w:rFonts w:ascii="Arial" w:hAnsi="Arial" w:cs="Arial"/>
          <w:color w:val="010000"/>
          <w:sz w:val="20"/>
        </w:rPr>
        <w:t xml:space="preserve"> and related functional departments are responsible for the implementation of this Resolution.</w:t>
      </w:r>
    </w:p>
    <w:p w14:paraId="0000000C" w14:textId="77777777" w:rsidR="000074C9" w:rsidRPr="00BE55EF" w:rsidRDefault="002A1B1A" w:rsidP="002A1B1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E55EF">
        <w:rPr>
          <w:rFonts w:ascii="Arial" w:hAnsi="Arial" w:cs="Arial"/>
          <w:color w:val="010000"/>
          <w:sz w:val="20"/>
        </w:rPr>
        <w:t>This Resolution takes effect from the date of its signing</w:t>
      </w:r>
      <w:proofErr w:type="gramStart"/>
      <w:r w:rsidRPr="00BE55EF">
        <w:rPr>
          <w:rFonts w:ascii="Arial" w:hAnsi="Arial" w:cs="Arial"/>
          <w:color w:val="010000"/>
          <w:sz w:val="20"/>
        </w:rPr>
        <w:t>./</w:t>
      </w:r>
      <w:proofErr w:type="gramEnd"/>
      <w:r w:rsidRPr="00BE55EF">
        <w:rPr>
          <w:rFonts w:ascii="Arial" w:hAnsi="Arial" w:cs="Arial"/>
          <w:color w:val="010000"/>
          <w:sz w:val="20"/>
        </w:rPr>
        <w:t>.</w:t>
      </w:r>
    </w:p>
    <w:sectPr w:rsidR="000074C9" w:rsidRPr="00BE55EF" w:rsidSect="002A1B1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81108"/>
    <w:multiLevelType w:val="multilevel"/>
    <w:tmpl w:val="1A4E839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9"/>
    <w:rsid w:val="000074C9"/>
    <w:rsid w:val="002A1B1A"/>
    <w:rsid w:val="007077C1"/>
    <w:rsid w:val="00940075"/>
    <w:rsid w:val="00B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23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jc w:val="right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yca7MsiOc0hnDN5S/Dlu7uhCFA==">CgMxLjA4AHIhMWVOejFtRm91Z2l5bjhYeHhYWkZtMUtiaHhtNnV3SjNI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767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2024-02-05T04:40:00Z</dcterms:created>
  <dcterms:modified xsi:type="dcterms:W3CDTF">2024-02-06T03:10:00Z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8740d1c5ba657596802454b0faf176dc1ad0c9b0abbb3646e3b203f8f417547b</vt:lpwstr>
  </property>
</Properties>
</file>