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381E" w14:textId="77777777" w:rsidR="00944CA2" w:rsidRPr="00897AA2" w:rsidRDefault="00726AEF" w:rsidP="00FD7C55">
      <w:pPr>
        <w:pStyle w:val="BodyText"/>
        <w:spacing w:after="120" w:line="360" w:lineRule="auto"/>
        <w:jc w:val="both"/>
        <w:rPr>
          <w:b/>
          <w:bCs/>
          <w:szCs w:val="20"/>
        </w:rPr>
      </w:pPr>
      <w:r w:rsidRPr="00897AA2">
        <w:rPr>
          <w:b/>
          <w:bCs/>
        </w:rPr>
        <w:t>VGS: Annual Corporate Governance Report 2023</w:t>
      </w:r>
    </w:p>
    <w:p w14:paraId="3ADE916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26, 2024, Vietnam Germany Steel Pipe JSC announced Report No. 02.2023/BCQT-VGS on the corporate governance</w:t>
      </w:r>
    </w:p>
    <w:p w14:paraId="077DA163" w14:textId="77777777" w:rsidR="00944CA2" w:rsidRPr="009F2044" w:rsidRDefault="00726AEF" w:rsidP="00FD7C5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NAME OF LISTED COMPANY</w:t>
      </w:r>
    </w:p>
    <w:p w14:paraId="79A51041" w14:textId="77777777" w:rsidR="00944CA2" w:rsidRPr="009F2044" w:rsidRDefault="00726AEF" w:rsidP="00FD7C55">
      <w:pPr>
        <w:keepNext/>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Vietnamese name: </w:t>
      </w:r>
      <w:proofErr w:type="spellStart"/>
      <w:r>
        <w:rPr>
          <w:rFonts w:ascii="Arial" w:hAnsi="Arial"/>
          <w:color w:val="010000"/>
          <w:sz w:val="20"/>
        </w:rPr>
        <w:t>Công</w:t>
      </w:r>
      <w:proofErr w:type="spellEnd"/>
      <w:r>
        <w:rPr>
          <w:rFonts w:ascii="Arial" w:hAnsi="Arial"/>
          <w:color w:val="010000"/>
          <w:sz w:val="20"/>
        </w:rPr>
        <w:t xml:space="preserve"> ty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Ống</w:t>
      </w:r>
      <w:proofErr w:type="spellEnd"/>
      <w:r>
        <w:rPr>
          <w:rFonts w:ascii="Arial" w:hAnsi="Arial"/>
          <w:color w:val="010000"/>
          <w:sz w:val="20"/>
        </w:rPr>
        <w:t xml:space="preserve"> </w:t>
      </w:r>
      <w:proofErr w:type="spellStart"/>
      <w:r>
        <w:rPr>
          <w:rFonts w:ascii="Arial" w:hAnsi="Arial"/>
          <w:color w:val="010000"/>
          <w:sz w:val="20"/>
        </w:rPr>
        <w:t>thép</w:t>
      </w:r>
      <w:proofErr w:type="spellEnd"/>
      <w:r>
        <w:rPr>
          <w:rFonts w:ascii="Arial" w:hAnsi="Arial"/>
          <w:color w:val="010000"/>
          <w:sz w:val="20"/>
        </w:rPr>
        <w:t xml:space="preserve"> </w:t>
      </w:r>
      <w:proofErr w:type="spellStart"/>
      <w:r>
        <w:rPr>
          <w:rFonts w:ascii="Arial" w:hAnsi="Arial"/>
          <w:color w:val="010000"/>
          <w:sz w:val="20"/>
        </w:rPr>
        <w:t>Việt</w:t>
      </w:r>
      <w:proofErr w:type="spellEnd"/>
      <w:r>
        <w:rPr>
          <w:rFonts w:ascii="Arial" w:hAnsi="Arial"/>
          <w:color w:val="010000"/>
          <w:sz w:val="20"/>
        </w:rPr>
        <w:t xml:space="preserve"> </w:t>
      </w:r>
      <w:proofErr w:type="spellStart"/>
      <w:r>
        <w:rPr>
          <w:rFonts w:ascii="Arial" w:hAnsi="Arial"/>
          <w:color w:val="010000"/>
          <w:sz w:val="20"/>
        </w:rPr>
        <w:t>Đức</w:t>
      </w:r>
      <w:proofErr w:type="spellEnd"/>
      <w:r>
        <w:rPr>
          <w:rFonts w:ascii="Arial" w:hAnsi="Arial"/>
          <w:color w:val="010000"/>
          <w:sz w:val="20"/>
        </w:rPr>
        <w:t xml:space="preserve"> VGPIPE</w:t>
      </w:r>
    </w:p>
    <w:p w14:paraId="4C6D7DC8" w14:textId="77777777" w:rsidR="00944CA2" w:rsidRPr="009F2044" w:rsidRDefault="00726AEF" w:rsidP="00FD7C55">
      <w:pPr>
        <w:keepNext/>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English name: Vietnam Germany Steel Pipe JSC</w:t>
      </w:r>
    </w:p>
    <w:p w14:paraId="1F7F385A" w14:textId="77777777" w:rsidR="00944CA2" w:rsidRPr="009F2044" w:rsidRDefault="00726AEF" w:rsidP="00FD7C55">
      <w:pPr>
        <w:keepNext/>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Abbreviated name: VG PIPE</w:t>
      </w:r>
    </w:p>
    <w:p w14:paraId="6EA18E3D" w14:textId="77777777" w:rsidR="00944CA2" w:rsidRPr="009F2044" w:rsidRDefault="00726AEF" w:rsidP="00FD7C55">
      <w:pPr>
        <w:keepNext/>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Securities code: VGS</w:t>
      </w:r>
    </w:p>
    <w:p w14:paraId="46DAA72E" w14:textId="77777777" w:rsidR="00944CA2" w:rsidRPr="009F2044" w:rsidRDefault="00726AEF" w:rsidP="00FD7C55">
      <w:pPr>
        <w:keepNext/>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Industrial Park,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District,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w:t>
      </w:r>
    </w:p>
    <w:p w14:paraId="4D4C74A4" w14:textId="77777777" w:rsidR="00944CA2" w:rsidRPr="009F2044" w:rsidRDefault="00726AEF" w:rsidP="00FD7C55">
      <w:pPr>
        <w:keepNext/>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Tel: 02113 887 863        Fax: 02113 888 562</w:t>
      </w:r>
    </w:p>
    <w:p w14:paraId="092384C2" w14:textId="77777777" w:rsidR="00944CA2" w:rsidRPr="009F2044" w:rsidRDefault="00726AEF" w:rsidP="00FD7C55">
      <w:pPr>
        <w:numPr>
          <w:ilvl w:val="0"/>
          <w:numId w:val="11"/>
        </w:numPr>
        <w:pBdr>
          <w:top w:val="nil"/>
          <w:left w:val="nil"/>
          <w:bottom w:val="nil"/>
          <w:right w:val="nil"/>
          <w:between w:val="nil"/>
        </w:pBdr>
        <w:tabs>
          <w:tab w:val="left" w:pos="432"/>
          <w:tab w:val="left" w:pos="2029"/>
          <w:tab w:val="left" w:pos="4229"/>
        </w:tabs>
        <w:spacing w:after="120" w:line="360" w:lineRule="auto"/>
        <w:jc w:val="both"/>
        <w:rPr>
          <w:rFonts w:ascii="Arial" w:eastAsia="Arial" w:hAnsi="Arial" w:cs="Arial"/>
          <w:color w:val="010000"/>
          <w:sz w:val="20"/>
          <w:szCs w:val="20"/>
        </w:rPr>
      </w:pPr>
      <w:r>
        <w:rPr>
          <w:rFonts w:ascii="Arial" w:hAnsi="Arial"/>
          <w:color w:val="010000"/>
          <w:sz w:val="20"/>
        </w:rPr>
        <w:t>Website: vgpipe.com.vn</w:t>
      </w:r>
    </w:p>
    <w:p w14:paraId="32A8BD66" w14:textId="77777777" w:rsidR="00944CA2" w:rsidRPr="009F2044" w:rsidRDefault="00726AEF" w:rsidP="00FD7C55">
      <w:pPr>
        <w:numPr>
          <w:ilvl w:val="0"/>
          <w:numId w:val="11"/>
        </w:numPr>
        <w:pBdr>
          <w:top w:val="nil"/>
          <w:left w:val="nil"/>
          <w:bottom w:val="nil"/>
          <w:right w:val="nil"/>
          <w:between w:val="nil"/>
        </w:pBdr>
        <w:tabs>
          <w:tab w:val="left" w:pos="432"/>
          <w:tab w:val="left" w:pos="2029"/>
          <w:tab w:val="left" w:pos="4229"/>
        </w:tabs>
        <w:spacing w:after="120" w:line="360" w:lineRule="auto"/>
        <w:jc w:val="both"/>
        <w:rPr>
          <w:rFonts w:ascii="Arial" w:eastAsia="Arial" w:hAnsi="Arial" w:cs="Arial"/>
          <w:color w:val="010000"/>
          <w:sz w:val="20"/>
          <w:szCs w:val="20"/>
        </w:rPr>
      </w:pPr>
      <w:r>
        <w:rPr>
          <w:rFonts w:ascii="Arial" w:hAnsi="Arial"/>
          <w:color w:val="010000"/>
          <w:sz w:val="20"/>
        </w:rPr>
        <w:t>Charter capital: VND 532,696,700,000</w:t>
      </w:r>
    </w:p>
    <w:p w14:paraId="0E76D15E" w14:textId="77777777" w:rsidR="00944CA2" w:rsidRPr="009F2044" w:rsidRDefault="00726AEF" w:rsidP="00FD7C55">
      <w:pPr>
        <w:numPr>
          <w:ilvl w:val="0"/>
          <w:numId w:val="11"/>
        </w:numPr>
        <w:pBdr>
          <w:top w:val="nil"/>
          <w:left w:val="nil"/>
          <w:bottom w:val="nil"/>
          <w:right w:val="nil"/>
          <w:between w:val="nil"/>
        </w:pBdr>
        <w:tabs>
          <w:tab w:val="left" w:pos="432"/>
          <w:tab w:val="left" w:pos="2029"/>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Management.</w:t>
      </w:r>
    </w:p>
    <w:p w14:paraId="7F4AB86B" w14:textId="77777777" w:rsidR="00944CA2" w:rsidRPr="009F2044" w:rsidRDefault="00726AEF" w:rsidP="00FD7C55">
      <w:pPr>
        <w:numPr>
          <w:ilvl w:val="0"/>
          <w:numId w:val="11"/>
        </w:numPr>
        <w:pBdr>
          <w:top w:val="nil"/>
          <w:left w:val="nil"/>
          <w:bottom w:val="nil"/>
          <w:right w:val="nil"/>
          <w:between w:val="nil"/>
        </w:pBdr>
        <w:tabs>
          <w:tab w:val="left" w:pos="432"/>
          <w:tab w:val="left" w:pos="2029"/>
        </w:tabs>
        <w:spacing w:after="120" w:line="360" w:lineRule="auto"/>
        <w:jc w:val="both"/>
        <w:rPr>
          <w:rFonts w:ascii="Arial" w:eastAsia="Arial" w:hAnsi="Arial" w:cs="Arial"/>
          <w:color w:val="010000"/>
          <w:sz w:val="20"/>
          <w:szCs w:val="20"/>
        </w:rPr>
      </w:pPr>
      <w:r>
        <w:rPr>
          <w:rFonts w:ascii="Arial" w:hAnsi="Arial"/>
          <w:color w:val="010000"/>
          <w:sz w:val="20"/>
        </w:rPr>
        <w:t>Internal audit execution: Not executed.</w:t>
      </w:r>
    </w:p>
    <w:p w14:paraId="7091E6B1" w14:textId="77777777" w:rsidR="00944CA2" w:rsidRPr="009F2044" w:rsidRDefault="00726AEF" w:rsidP="00FD7C55">
      <w:pPr>
        <w:keepNext/>
        <w:numPr>
          <w:ilvl w:val="0"/>
          <w:numId w:val="1"/>
        </w:numPr>
        <w:pBdr>
          <w:top w:val="nil"/>
          <w:left w:val="nil"/>
          <w:bottom w:val="nil"/>
          <w:right w:val="nil"/>
          <w:between w:val="nil"/>
        </w:pBdr>
        <w:tabs>
          <w:tab w:val="left" w:pos="432"/>
          <w:tab w:val="left" w:pos="2029"/>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284BFE07" w14:textId="77777777" w:rsidR="00944CA2" w:rsidRPr="009F2044" w:rsidRDefault="00726AEF" w:rsidP="00FD7C55">
      <w:pPr>
        <w:keepNext/>
        <w:numPr>
          <w:ilvl w:val="1"/>
          <w:numId w:val="1"/>
        </w:numPr>
        <w:pBdr>
          <w:top w:val="nil"/>
          <w:left w:val="nil"/>
          <w:bottom w:val="nil"/>
          <w:right w:val="nil"/>
          <w:between w:val="nil"/>
        </w:pBdr>
        <w:tabs>
          <w:tab w:val="left" w:pos="432"/>
          <w:tab w:val="left" w:pos="2029"/>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2023:</w:t>
      </w:r>
    </w:p>
    <w:p w14:paraId="065D116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Vietnam Germany Steel Pipe JSC organized the Annual General Meeting of Shareholder on </w:t>
      </w:r>
      <w:proofErr w:type="spellStart"/>
      <w:r>
        <w:rPr>
          <w:rFonts w:ascii="Arial" w:hAnsi="Arial"/>
          <w:color w:val="010000"/>
          <w:sz w:val="20"/>
        </w:rPr>
        <w:t>Apri</w:t>
      </w:r>
      <w:proofErr w:type="spellEnd"/>
      <w:r>
        <w:rPr>
          <w:rFonts w:ascii="Arial" w:hAnsi="Arial"/>
          <w:color w:val="010000"/>
          <w:sz w:val="20"/>
        </w:rPr>
        <w:t>; 15, 2023. According to the reports, proposals, and the discussion process, The General Meeting of Shareholders of Vietnam Germany Steel Pipe JSC unanimously approved a number of contents in the Annual General Mandate No. 01/2023/NQ-DHĐCĐ-VGS as follows:</w:t>
      </w:r>
    </w:p>
    <w:p w14:paraId="3B71ABD5" w14:textId="77777777" w:rsidR="00944CA2" w:rsidRPr="009F2044" w:rsidRDefault="00726AEF" w:rsidP="00FD7C55">
      <w:pPr>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reports including:</w:t>
      </w:r>
    </w:p>
    <w:p w14:paraId="12D9D72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Report of the Board of Management on the results of production and business activities in 2022 and the direction of tasks in 2023.</w:t>
      </w:r>
    </w:p>
    <w:p w14:paraId="4A20E08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Report on activities of the Board of Directors in 2022 and tasks in 2023.</w:t>
      </w:r>
    </w:p>
    <w:p w14:paraId="6A521BD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Report of the Supervisory Board on implementation in 2022 and operational plan in 2023. </w:t>
      </w:r>
    </w:p>
    <w:p w14:paraId="6B03ED69" w14:textId="77777777" w:rsidR="00944CA2" w:rsidRPr="009F2044" w:rsidRDefault="00726AEF" w:rsidP="00FD7C55">
      <w:pPr>
        <w:keepNext/>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Financial Statements 2020</w:t>
      </w:r>
    </w:p>
    <w:p w14:paraId="10B7C637" w14:textId="77777777" w:rsidR="00944CA2" w:rsidRPr="009F2044" w:rsidRDefault="00726AEF" w:rsidP="00FD7C5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Report of the Supervisory Board on implementation in 2022 and operational plan in 2023.  Approve the holding company's the financial statements and the consolidated financial statements 2022 of the Board of Management, which were audited by AASC Auditing Firm Company Limited</w:t>
      </w:r>
    </w:p>
    <w:p w14:paraId="753BE333" w14:textId="77777777" w:rsidR="00944CA2" w:rsidRPr="009F2044" w:rsidRDefault="00726AEF" w:rsidP="00FD7C55">
      <w:pPr>
        <w:numPr>
          <w:ilvl w:val="0"/>
          <w:numId w:val="13"/>
        </w:numPr>
        <w:pBdr>
          <w:top w:val="nil"/>
          <w:left w:val="nil"/>
          <w:bottom w:val="nil"/>
          <w:right w:val="nil"/>
          <w:between w:val="nil"/>
        </w:pBdr>
        <w:tabs>
          <w:tab w:val="left" w:pos="426"/>
          <w:tab w:val="left" w:pos="792"/>
        </w:tabs>
        <w:spacing w:after="120" w:line="360" w:lineRule="auto"/>
        <w:jc w:val="both"/>
        <w:rPr>
          <w:rFonts w:ascii="Arial" w:eastAsia="Arial" w:hAnsi="Arial" w:cs="Arial"/>
          <w:color w:val="010000"/>
          <w:sz w:val="20"/>
          <w:szCs w:val="20"/>
        </w:rPr>
      </w:pPr>
      <w:r>
        <w:rPr>
          <w:rFonts w:ascii="Arial" w:hAnsi="Arial"/>
          <w:color w:val="010000"/>
          <w:sz w:val="20"/>
        </w:rPr>
        <w:t>On Business results of 2022:</w:t>
      </w:r>
    </w:p>
    <w:p w14:paraId="158816B6" w14:textId="77777777" w:rsidR="00944CA2" w:rsidRPr="009F2044" w:rsidRDefault="00726AEF" w:rsidP="00FD7C55">
      <w:pPr>
        <w:numPr>
          <w:ilvl w:val="0"/>
          <w:numId w:val="9"/>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Total revenue: Holding company reached VND 4,955.74 billion and Consolidation reached VND </w:t>
      </w:r>
      <w:r>
        <w:rPr>
          <w:rFonts w:ascii="Arial" w:hAnsi="Arial"/>
          <w:color w:val="010000"/>
          <w:sz w:val="20"/>
        </w:rPr>
        <w:lastRenderedPageBreak/>
        <w:t xml:space="preserve">8,490.9 billion </w:t>
      </w:r>
    </w:p>
    <w:p w14:paraId="20DC0F46" w14:textId="77777777" w:rsidR="00944CA2" w:rsidRPr="009F2044" w:rsidRDefault="00726AEF" w:rsidP="00FD7C55">
      <w:pPr>
        <w:numPr>
          <w:ilvl w:val="0"/>
          <w:numId w:val="9"/>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Holding company reached VND 53.32 billion and Consolidation reached VND 116.84 billion.</w:t>
      </w:r>
    </w:p>
    <w:p w14:paraId="3542AB06" w14:textId="77777777" w:rsidR="00944CA2" w:rsidRPr="009F2044" w:rsidRDefault="00726AEF" w:rsidP="00FD7C55">
      <w:pPr>
        <w:numPr>
          <w:ilvl w:val="0"/>
          <w:numId w:val="9"/>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Holding company reached VND 42.66 billion and Consolidation reached VND 100.12 billion.</w:t>
      </w:r>
    </w:p>
    <w:p w14:paraId="59A7E0AA" w14:textId="77777777" w:rsidR="00944CA2" w:rsidRPr="009F2044" w:rsidRDefault="00726AEF" w:rsidP="00FD7C55">
      <w:pPr>
        <w:numPr>
          <w:ilvl w:val="0"/>
          <w:numId w:val="13"/>
        </w:numPr>
        <w:pBdr>
          <w:top w:val="nil"/>
          <w:left w:val="nil"/>
          <w:bottom w:val="nil"/>
          <w:right w:val="nil"/>
          <w:between w:val="nil"/>
        </w:pBdr>
        <w:tabs>
          <w:tab w:val="left" w:pos="426"/>
          <w:tab w:val="left" w:pos="792"/>
        </w:tabs>
        <w:spacing w:after="120" w:line="360" w:lineRule="auto"/>
        <w:jc w:val="both"/>
        <w:rPr>
          <w:rFonts w:ascii="Arial" w:eastAsia="Arial" w:hAnsi="Arial" w:cs="Arial"/>
          <w:color w:val="010000"/>
          <w:sz w:val="20"/>
          <w:szCs w:val="20"/>
        </w:rPr>
      </w:pPr>
      <w:r>
        <w:rPr>
          <w:rFonts w:ascii="Arial" w:hAnsi="Arial"/>
          <w:color w:val="010000"/>
          <w:sz w:val="20"/>
        </w:rPr>
        <w:t>On the Company's assets as of December 31, 2022</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0"/>
        <w:gridCol w:w="1344"/>
        <w:gridCol w:w="2092"/>
        <w:gridCol w:w="2033"/>
      </w:tblGrid>
      <w:tr w:rsidR="00944CA2" w:rsidRPr="009F2044" w14:paraId="38BCD893" w14:textId="77777777" w:rsidTr="009F2044">
        <w:trPr>
          <w:cantSplit/>
        </w:trPr>
        <w:tc>
          <w:tcPr>
            <w:tcW w:w="1968" w:type="pct"/>
            <w:shd w:val="clear" w:color="auto" w:fill="auto"/>
            <w:tcMar>
              <w:top w:w="0" w:type="dxa"/>
              <w:bottom w:w="0" w:type="dxa"/>
            </w:tcMar>
            <w:vAlign w:val="center"/>
          </w:tcPr>
          <w:p w14:paraId="1862D1A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745" w:type="pct"/>
            <w:shd w:val="clear" w:color="auto" w:fill="auto"/>
            <w:tcMar>
              <w:top w:w="0" w:type="dxa"/>
              <w:bottom w:w="0" w:type="dxa"/>
            </w:tcMar>
            <w:vAlign w:val="center"/>
          </w:tcPr>
          <w:p w14:paraId="2211726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160" w:type="pct"/>
            <w:shd w:val="clear" w:color="auto" w:fill="auto"/>
            <w:tcMar>
              <w:top w:w="0" w:type="dxa"/>
              <w:bottom w:w="0" w:type="dxa"/>
            </w:tcMar>
            <w:vAlign w:val="center"/>
          </w:tcPr>
          <w:p w14:paraId="125E632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Holding Company:</w:t>
            </w:r>
          </w:p>
        </w:tc>
        <w:tc>
          <w:tcPr>
            <w:tcW w:w="1127" w:type="pct"/>
            <w:shd w:val="clear" w:color="auto" w:fill="auto"/>
            <w:tcMar>
              <w:top w:w="0" w:type="dxa"/>
              <w:bottom w:w="0" w:type="dxa"/>
            </w:tcMar>
            <w:vAlign w:val="center"/>
          </w:tcPr>
          <w:p w14:paraId="4A0EE6E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Consolidated</w:t>
            </w:r>
          </w:p>
        </w:tc>
      </w:tr>
      <w:tr w:rsidR="00944CA2" w:rsidRPr="009F2044" w14:paraId="57912905" w14:textId="77777777" w:rsidTr="009F2044">
        <w:trPr>
          <w:cantSplit/>
        </w:trPr>
        <w:tc>
          <w:tcPr>
            <w:tcW w:w="1968" w:type="pct"/>
            <w:shd w:val="clear" w:color="auto" w:fill="auto"/>
            <w:tcMar>
              <w:top w:w="0" w:type="dxa"/>
              <w:bottom w:w="0" w:type="dxa"/>
            </w:tcMar>
            <w:vAlign w:val="center"/>
          </w:tcPr>
          <w:p w14:paraId="3FCD6322" w14:textId="77777777" w:rsidR="00944CA2" w:rsidRPr="009F2044" w:rsidRDefault="00726AEF" w:rsidP="00FD7C55">
            <w:pPr>
              <w:numPr>
                <w:ilvl w:val="0"/>
                <w:numId w:val="12"/>
              </w:numPr>
              <w:pBdr>
                <w:top w:val="nil"/>
                <w:left w:val="nil"/>
                <w:bottom w:val="nil"/>
                <w:right w:val="nil"/>
                <w:between w:val="nil"/>
              </w:pBdr>
              <w:tabs>
                <w:tab w:val="left" w:pos="39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assets:</w:t>
            </w:r>
          </w:p>
        </w:tc>
        <w:tc>
          <w:tcPr>
            <w:tcW w:w="745" w:type="pct"/>
            <w:shd w:val="clear" w:color="auto" w:fill="auto"/>
            <w:tcMar>
              <w:top w:w="0" w:type="dxa"/>
              <w:bottom w:w="0" w:type="dxa"/>
            </w:tcMar>
            <w:vAlign w:val="center"/>
          </w:tcPr>
          <w:p w14:paraId="4560E02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0" w:type="pct"/>
            <w:shd w:val="clear" w:color="auto" w:fill="auto"/>
            <w:tcMar>
              <w:top w:w="0" w:type="dxa"/>
              <w:bottom w:w="0" w:type="dxa"/>
            </w:tcMar>
            <w:vAlign w:val="center"/>
          </w:tcPr>
          <w:p w14:paraId="3082FE1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1,367.43</w:t>
            </w:r>
          </w:p>
        </w:tc>
        <w:tc>
          <w:tcPr>
            <w:tcW w:w="1127" w:type="pct"/>
            <w:shd w:val="clear" w:color="auto" w:fill="auto"/>
            <w:tcMar>
              <w:top w:w="0" w:type="dxa"/>
              <w:bottom w:w="0" w:type="dxa"/>
            </w:tcMar>
            <w:vAlign w:val="center"/>
          </w:tcPr>
          <w:p w14:paraId="2C5BC49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2,164.90</w:t>
            </w:r>
          </w:p>
        </w:tc>
      </w:tr>
      <w:tr w:rsidR="00944CA2" w:rsidRPr="009F2044" w14:paraId="40287077" w14:textId="77777777" w:rsidTr="009F2044">
        <w:trPr>
          <w:cantSplit/>
        </w:trPr>
        <w:tc>
          <w:tcPr>
            <w:tcW w:w="1968" w:type="pct"/>
            <w:shd w:val="clear" w:color="auto" w:fill="auto"/>
            <w:tcMar>
              <w:top w:w="0" w:type="dxa"/>
              <w:bottom w:w="0" w:type="dxa"/>
            </w:tcMar>
            <w:vAlign w:val="center"/>
          </w:tcPr>
          <w:p w14:paraId="76DF9B0D" w14:textId="77777777" w:rsidR="00944CA2" w:rsidRPr="009F2044" w:rsidRDefault="00726AEF" w:rsidP="00FD7C55">
            <w:pPr>
              <w:numPr>
                <w:ilvl w:val="1"/>
                <w:numId w:val="12"/>
              </w:numPr>
              <w:pBdr>
                <w:top w:val="nil"/>
                <w:left w:val="nil"/>
                <w:bottom w:val="nil"/>
                <w:right w:val="nil"/>
                <w:between w:val="nil"/>
              </w:pBdr>
              <w:tabs>
                <w:tab w:val="left" w:pos="435"/>
              </w:tabs>
              <w:spacing w:after="120" w:line="360" w:lineRule="auto"/>
              <w:ind w:left="0" w:firstLine="0"/>
              <w:jc w:val="both"/>
              <w:rPr>
                <w:rFonts w:ascii="Arial" w:eastAsia="Arial" w:hAnsi="Arial" w:cs="Arial"/>
                <w:color w:val="010000"/>
                <w:sz w:val="20"/>
                <w:szCs w:val="20"/>
              </w:rPr>
            </w:pPr>
            <w:r>
              <w:rPr>
                <w:rFonts w:ascii="Arial" w:hAnsi="Arial"/>
                <w:color w:val="010000"/>
                <w:sz w:val="20"/>
              </w:rPr>
              <w:t>Short-term assets:</w:t>
            </w:r>
          </w:p>
        </w:tc>
        <w:tc>
          <w:tcPr>
            <w:tcW w:w="745" w:type="pct"/>
            <w:shd w:val="clear" w:color="auto" w:fill="auto"/>
            <w:tcMar>
              <w:top w:w="0" w:type="dxa"/>
              <w:bottom w:w="0" w:type="dxa"/>
            </w:tcMar>
            <w:vAlign w:val="center"/>
          </w:tcPr>
          <w:p w14:paraId="7B4C33A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0" w:type="pct"/>
            <w:shd w:val="clear" w:color="auto" w:fill="auto"/>
            <w:tcMar>
              <w:top w:w="0" w:type="dxa"/>
              <w:bottom w:w="0" w:type="dxa"/>
            </w:tcMar>
            <w:vAlign w:val="center"/>
          </w:tcPr>
          <w:p w14:paraId="3567CB6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742.43</w:t>
            </w:r>
          </w:p>
        </w:tc>
        <w:tc>
          <w:tcPr>
            <w:tcW w:w="1127" w:type="pct"/>
            <w:shd w:val="clear" w:color="auto" w:fill="auto"/>
            <w:tcMar>
              <w:top w:w="0" w:type="dxa"/>
              <w:bottom w:w="0" w:type="dxa"/>
            </w:tcMar>
            <w:vAlign w:val="center"/>
          </w:tcPr>
          <w:p w14:paraId="69F391A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1,499.10</w:t>
            </w:r>
          </w:p>
        </w:tc>
      </w:tr>
      <w:tr w:rsidR="00944CA2" w:rsidRPr="009F2044" w14:paraId="203711F8" w14:textId="77777777" w:rsidTr="009F2044">
        <w:trPr>
          <w:cantSplit/>
        </w:trPr>
        <w:tc>
          <w:tcPr>
            <w:tcW w:w="1968" w:type="pct"/>
            <w:shd w:val="clear" w:color="auto" w:fill="auto"/>
            <w:tcMar>
              <w:top w:w="0" w:type="dxa"/>
              <w:bottom w:w="0" w:type="dxa"/>
            </w:tcMar>
            <w:vAlign w:val="center"/>
          </w:tcPr>
          <w:p w14:paraId="6A6F5E2B" w14:textId="77777777" w:rsidR="00944CA2" w:rsidRPr="009F2044" w:rsidRDefault="00726AEF" w:rsidP="00FD7C55">
            <w:pPr>
              <w:numPr>
                <w:ilvl w:val="1"/>
                <w:numId w:val="12"/>
              </w:numPr>
              <w:pBdr>
                <w:top w:val="nil"/>
                <w:left w:val="nil"/>
                <w:bottom w:val="nil"/>
                <w:right w:val="nil"/>
                <w:between w:val="nil"/>
              </w:pBdr>
              <w:tabs>
                <w:tab w:val="left" w:pos="435"/>
              </w:tabs>
              <w:spacing w:after="120" w:line="360" w:lineRule="auto"/>
              <w:ind w:left="0" w:firstLine="0"/>
              <w:jc w:val="both"/>
              <w:rPr>
                <w:rFonts w:ascii="Arial" w:eastAsia="Arial" w:hAnsi="Arial" w:cs="Arial"/>
                <w:color w:val="010000"/>
                <w:sz w:val="20"/>
                <w:szCs w:val="20"/>
              </w:rPr>
            </w:pPr>
            <w:r>
              <w:rPr>
                <w:rFonts w:ascii="Arial" w:hAnsi="Arial"/>
                <w:color w:val="010000"/>
                <w:sz w:val="20"/>
              </w:rPr>
              <w:t>Long-term assets:</w:t>
            </w:r>
          </w:p>
        </w:tc>
        <w:tc>
          <w:tcPr>
            <w:tcW w:w="745" w:type="pct"/>
            <w:shd w:val="clear" w:color="auto" w:fill="auto"/>
            <w:tcMar>
              <w:top w:w="0" w:type="dxa"/>
              <w:bottom w:w="0" w:type="dxa"/>
            </w:tcMar>
            <w:vAlign w:val="center"/>
          </w:tcPr>
          <w:p w14:paraId="4D7C88C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0" w:type="pct"/>
            <w:shd w:val="clear" w:color="auto" w:fill="auto"/>
            <w:tcMar>
              <w:top w:w="0" w:type="dxa"/>
              <w:bottom w:w="0" w:type="dxa"/>
            </w:tcMar>
            <w:vAlign w:val="center"/>
          </w:tcPr>
          <w:p w14:paraId="3D97855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625.00</w:t>
            </w:r>
          </w:p>
        </w:tc>
        <w:tc>
          <w:tcPr>
            <w:tcW w:w="1127" w:type="pct"/>
            <w:shd w:val="clear" w:color="auto" w:fill="auto"/>
            <w:tcMar>
              <w:top w:w="0" w:type="dxa"/>
              <w:bottom w:w="0" w:type="dxa"/>
            </w:tcMar>
            <w:vAlign w:val="center"/>
          </w:tcPr>
          <w:p w14:paraId="78E2648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665.80</w:t>
            </w:r>
          </w:p>
        </w:tc>
      </w:tr>
      <w:tr w:rsidR="00944CA2" w:rsidRPr="009F2044" w14:paraId="611885E9" w14:textId="77777777" w:rsidTr="009F2044">
        <w:trPr>
          <w:cantSplit/>
        </w:trPr>
        <w:tc>
          <w:tcPr>
            <w:tcW w:w="1968" w:type="pct"/>
            <w:shd w:val="clear" w:color="auto" w:fill="auto"/>
            <w:tcMar>
              <w:top w:w="0" w:type="dxa"/>
              <w:bottom w:w="0" w:type="dxa"/>
            </w:tcMar>
            <w:vAlign w:val="center"/>
          </w:tcPr>
          <w:p w14:paraId="7BB90DDD" w14:textId="77777777" w:rsidR="00944CA2" w:rsidRPr="009F2044" w:rsidRDefault="00726AEF" w:rsidP="00FD7C55">
            <w:pPr>
              <w:numPr>
                <w:ilvl w:val="0"/>
                <w:numId w:val="12"/>
              </w:numPr>
              <w:pBdr>
                <w:top w:val="nil"/>
                <w:left w:val="nil"/>
                <w:bottom w:val="nil"/>
                <w:right w:val="nil"/>
                <w:between w:val="nil"/>
              </w:pBdr>
              <w:tabs>
                <w:tab w:val="left" w:pos="411"/>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capital:</w:t>
            </w:r>
          </w:p>
        </w:tc>
        <w:tc>
          <w:tcPr>
            <w:tcW w:w="745" w:type="pct"/>
            <w:shd w:val="clear" w:color="auto" w:fill="auto"/>
            <w:tcMar>
              <w:top w:w="0" w:type="dxa"/>
              <w:bottom w:w="0" w:type="dxa"/>
            </w:tcMar>
            <w:vAlign w:val="center"/>
          </w:tcPr>
          <w:p w14:paraId="0555CF0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0" w:type="pct"/>
            <w:shd w:val="clear" w:color="auto" w:fill="auto"/>
            <w:tcMar>
              <w:top w:w="0" w:type="dxa"/>
              <w:bottom w:w="0" w:type="dxa"/>
            </w:tcMar>
            <w:vAlign w:val="center"/>
          </w:tcPr>
          <w:p w14:paraId="47F3D6D8"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1,367.43</w:t>
            </w:r>
          </w:p>
        </w:tc>
        <w:tc>
          <w:tcPr>
            <w:tcW w:w="1127" w:type="pct"/>
            <w:shd w:val="clear" w:color="auto" w:fill="auto"/>
            <w:tcMar>
              <w:top w:w="0" w:type="dxa"/>
              <w:bottom w:w="0" w:type="dxa"/>
            </w:tcMar>
            <w:vAlign w:val="center"/>
          </w:tcPr>
          <w:p w14:paraId="7086091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2,164.90</w:t>
            </w:r>
          </w:p>
        </w:tc>
      </w:tr>
      <w:tr w:rsidR="00944CA2" w:rsidRPr="009F2044" w14:paraId="200C841A" w14:textId="77777777" w:rsidTr="009F2044">
        <w:trPr>
          <w:cantSplit/>
        </w:trPr>
        <w:tc>
          <w:tcPr>
            <w:tcW w:w="1968" w:type="pct"/>
            <w:shd w:val="clear" w:color="auto" w:fill="auto"/>
            <w:tcMar>
              <w:top w:w="0" w:type="dxa"/>
              <w:bottom w:w="0" w:type="dxa"/>
            </w:tcMar>
            <w:vAlign w:val="center"/>
          </w:tcPr>
          <w:p w14:paraId="04D61689" w14:textId="77777777" w:rsidR="00944CA2" w:rsidRPr="009F2044" w:rsidRDefault="00726AEF" w:rsidP="00FD7C55">
            <w:pPr>
              <w:numPr>
                <w:ilvl w:val="1"/>
                <w:numId w:val="12"/>
              </w:numPr>
              <w:pBdr>
                <w:top w:val="nil"/>
                <w:left w:val="nil"/>
                <w:bottom w:val="nil"/>
                <w:right w:val="nil"/>
                <w:between w:val="nil"/>
              </w:pBdr>
              <w:tabs>
                <w:tab w:val="left" w:pos="420"/>
              </w:tabs>
              <w:spacing w:after="120" w:line="360" w:lineRule="auto"/>
              <w:ind w:left="0" w:firstLine="0"/>
              <w:jc w:val="both"/>
              <w:rPr>
                <w:rFonts w:ascii="Arial" w:eastAsia="Arial" w:hAnsi="Arial" w:cs="Arial"/>
                <w:color w:val="010000"/>
                <w:sz w:val="20"/>
                <w:szCs w:val="20"/>
              </w:rPr>
            </w:pPr>
            <w:r>
              <w:rPr>
                <w:rFonts w:ascii="Arial" w:hAnsi="Arial"/>
                <w:color w:val="010000"/>
                <w:sz w:val="20"/>
              </w:rPr>
              <w:t>Liabilities</w:t>
            </w:r>
          </w:p>
        </w:tc>
        <w:tc>
          <w:tcPr>
            <w:tcW w:w="745" w:type="pct"/>
            <w:shd w:val="clear" w:color="auto" w:fill="auto"/>
            <w:tcMar>
              <w:top w:w="0" w:type="dxa"/>
              <w:bottom w:w="0" w:type="dxa"/>
            </w:tcMar>
            <w:vAlign w:val="center"/>
          </w:tcPr>
          <w:p w14:paraId="242B45E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0" w:type="pct"/>
            <w:shd w:val="clear" w:color="auto" w:fill="auto"/>
            <w:tcMar>
              <w:top w:w="0" w:type="dxa"/>
              <w:bottom w:w="0" w:type="dxa"/>
            </w:tcMar>
            <w:vAlign w:val="center"/>
          </w:tcPr>
          <w:p w14:paraId="2B25C1B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684.52</w:t>
            </w:r>
          </w:p>
        </w:tc>
        <w:tc>
          <w:tcPr>
            <w:tcW w:w="1127" w:type="pct"/>
            <w:shd w:val="clear" w:color="auto" w:fill="auto"/>
            <w:tcMar>
              <w:top w:w="0" w:type="dxa"/>
              <w:bottom w:w="0" w:type="dxa"/>
            </w:tcMar>
            <w:vAlign w:val="center"/>
          </w:tcPr>
          <w:p w14:paraId="6284E9D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1,238.30</w:t>
            </w:r>
          </w:p>
        </w:tc>
      </w:tr>
      <w:tr w:rsidR="00944CA2" w:rsidRPr="009F2044" w14:paraId="42C1A0E1" w14:textId="77777777" w:rsidTr="009F2044">
        <w:trPr>
          <w:cantSplit/>
        </w:trPr>
        <w:tc>
          <w:tcPr>
            <w:tcW w:w="1968" w:type="pct"/>
            <w:shd w:val="clear" w:color="auto" w:fill="auto"/>
            <w:tcMar>
              <w:top w:w="0" w:type="dxa"/>
              <w:bottom w:w="0" w:type="dxa"/>
            </w:tcMar>
            <w:vAlign w:val="center"/>
          </w:tcPr>
          <w:p w14:paraId="1B34917F" w14:textId="77777777" w:rsidR="00944CA2" w:rsidRPr="009F2044" w:rsidRDefault="00726AEF" w:rsidP="00FD7C55">
            <w:pPr>
              <w:numPr>
                <w:ilvl w:val="1"/>
                <w:numId w:val="12"/>
              </w:numPr>
              <w:pBdr>
                <w:top w:val="nil"/>
                <w:left w:val="nil"/>
                <w:bottom w:val="nil"/>
                <w:right w:val="nil"/>
                <w:between w:val="nil"/>
              </w:pBdr>
              <w:tabs>
                <w:tab w:val="left" w:pos="420"/>
              </w:tabs>
              <w:spacing w:after="120" w:line="360" w:lineRule="auto"/>
              <w:ind w:left="0" w:firstLine="0"/>
              <w:jc w:val="both"/>
              <w:rPr>
                <w:rFonts w:ascii="Arial" w:eastAsia="Arial" w:hAnsi="Arial" w:cs="Arial"/>
                <w:color w:val="010000"/>
                <w:sz w:val="20"/>
                <w:szCs w:val="20"/>
              </w:rPr>
            </w:pPr>
            <w:r>
              <w:rPr>
                <w:rFonts w:ascii="Arial" w:hAnsi="Arial"/>
                <w:color w:val="010000"/>
                <w:sz w:val="20"/>
              </w:rPr>
              <w:t>Owners’ equity:</w:t>
            </w:r>
          </w:p>
        </w:tc>
        <w:tc>
          <w:tcPr>
            <w:tcW w:w="745" w:type="pct"/>
            <w:shd w:val="clear" w:color="auto" w:fill="auto"/>
            <w:tcMar>
              <w:top w:w="0" w:type="dxa"/>
              <w:bottom w:w="0" w:type="dxa"/>
            </w:tcMar>
            <w:vAlign w:val="center"/>
          </w:tcPr>
          <w:p w14:paraId="4ABE638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0" w:type="pct"/>
            <w:shd w:val="clear" w:color="auto" w:fill="auto"/>
            <w:tcMar>
              <w:top w:w="0" w:type="dxa"/>
              <w:bottom w:w="0" w:type="dxa"/>
            </w:tcMar>
            <w:vAlign w:val="center"/>
          </w:tcPr>
          <w:p w14:paraId="04FCA98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682.91</w:t>
            </w:r>
          </w:p>
        </w:tc>
        <w:tc>
          <w:tcPr>
            <w:tcW w:w="1127" w:type="pct"/>
            <w:shd w:val="clear" w:color="auto" w:fill="auto"/>
            <w:tcMar>
              <w:top w:w="0" w:type="dxa"/>
              <w:bottom w:w="0" w:type="dxa"/>
            </w:tcMar>
            <w:vAlign w:val="center"/>
          </w:tcPr>
          <w:p w14:paraId="6BFF789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926.60</w:t>
            </w:r>
          </w:p>
        </w:tc>
      </w:tr>
    </w:tbl>
    <w:p w14:paraId="1945ACC9" w14:textId="77777777" w:rsidR="00944CA2" w:rsidRPr="009F2044" w:rsidRDefault="00726AEF" w:rsidP="00FD7C55">
      <w:pPr>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production and business plan for 2023 as follows </w:t>
      </w:r>
    </w:p>
    <w:p w14:paraId="210254B7" w14:textId="77777777" w:rsidR="00944CA2" w:rsidRPr="009F2044" w:rsidRDefault="00726AEF" w:rsidP="00FD7C5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Revenue: Holding company reached VND 4.000 billion and Consolidation reached VND 7.000 billion </w:t>
      </w:r>
    </w:p>
    <w:p w14:paraId="7178C512" w14:textId="77777777" w:rsidR="00944CA2" w:rsidRPr="009F2044" w:rsidRDefault="00726AEF" w:rsidP="00FD7C5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Holding company reached VND 50 billion and Consolidation reached VND 90 billion </w:t>
      </w:r>
    </w:p>
    <w:p w14:paraId="412D4684" w14:textId="77777777" w:rsidR="00944CA2" w:rsidRPr="009F2044" w:rsidRDefault="00726AEF" w:rsidP="00FD7C55">
      <w:pPr>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appropriation for funds from the profit after tax in 2023</w:t>
      </w:r>
    </w:p>
    <w:p w14:paraId="00F6FCEA"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On the Investment and Development Fund: Authorize the Board of Management to review and decide whether or not to appropriate with a specific amount but not exceeding 10% of Profit after tax and decide a specific level of fund expenditure.</w:t>
      </w:r>
    </w:p>
    <w:p w14:paraId="1E515103"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On the bonus and welfare fund: The maximum appropriation level of 5% of profit after tax, authorizes the Board of Management to decide the specific rate of deduction and fund expenditure.</w:t>
      </w:r>
    </w:p>
    <w:p w14:paraId="309D95D1" w14:textId="77777777" w:rsidR="00944CA2" w:rsidRPr="009F2044" w:rsidRDefault="00726AEF" w:rsidP="00FD7C55">
      <w:pPr>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remuneration rate of the Board of Directors and the Supervisory Board in 2023:</w:t>
      </w:r>
    </w:p>
    <w:p w14:paraId="28893AF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remuneration of the Board of Directors and the Supervisory Board shall not exceed 3% of the profit after tax of the consolidated financial statements. Authorize the Chair of the Board of Directors and the Board of Management of the Company to decide the form and the specific remuneration rate for members of the Board of Directors and the Supervisory Board based on the functions and tasks to distribute appropriately.</w:t>
      </w:r>
    </w:p>
    <w:p w14:paraId="33A81B97" w14:textId="77777777" w:rsidR="00944CA2" w:rsidRPr="009F2044" w:rsidRDefault="00726AEF" w:rsidP="00FD7C55">
      <w:pPr>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dividend payment 2022 as follows:</w:t>
      </w:r>
    </w:p>
    <w:p w14:paraId="533749BB" w14:textId="29399131" w:rsidR="00944CA2" w:rsidRPr="009F2044" w:rsidRDefault="00726AEF" w:rsidP="00FD7C55">
      <w:pPr>
        <w:numPr>
          <w:ilvl w:val="0"/>
          <w:numId w:val="11"/>
        </w:numPr>
        <w:pBdr>
          <w:top w:val="nil"/>
          <w:left w:val="nil"/>
          <w:bottom w:val="nil"/>
          <w:right w:val="nil"/>
          <w:between w:val="nil"/>
        </w:pBdr>
        <w:tabs>
          <w:tab w:val="left" w:pos="432"/>
          <w:tab w:val="left" w:pos="4820"/>
        </w:tabs>
        <w:spacing w:after="120" w:line="360" w:lineRule="auto"/>
        <w:jc w:val="both"/>
        <w:rPr>
          <w:rFonts w:ascii="Arial" w:eastAsia="Arial" w:hAnsi="Arial" w:cs="Arial"/>
          <w:color w:val="010000"/>
          <w:sz w:val="20"/>
          <w:szCs w:val="20"/>
        </w:rPr>
      </w:pPr>
      <w:r>
        <w:rPr>
          <w:rFonts w:ascii="Arial" w:hAnsi="Arial"/>
          <w:color w:val="010000"/>
          <w:sz w:val="20"/>
        </w:rPr>
        <w:t>Total number of outstanding share</w:t>
      </w:r>
      <w:r w:rsidR="00897AA2">
        <w:rPr>
          <w:rFonts w:ascii="Arial" w:hAnsi="Arial"/>
          <w:color w:val="010000"/>
          <w:sz w:val="20"/>
        </w:rPr>
        <w:t>s</w:t>
      </w:r>
      <w:r>
        <w:rPr>
          <w:rFonts w:ascii="Arial" w:hAnsi="Arial"/>
          <w:color w:val="010000"/>
          <w:sz w:val="20"/>
        </w:rPr>
        <w:t>: 48,427,921 shares.</w:t>
      </w:r>
    </w:p>
    <w:p w14:paraId="0B147346" w14:textId="77777777" w:rsidR="00944CA2" w:rsidRPr="009F2044" w:rsidRDefault="00726AEF" w:rsidP="00FD7C55">
      <w:pPr>
        <w:numPr>
          <w:ilvl w:val="0"/>
          <w:numId w:val="11"/>
        </w:numPr>
        <w:pBdr>
          <w:top w:val="nil"/>
          <w:left w:val="nil"/>
          <w:bottom w:val="nil"/>
          <w:right w:val="nil"/>
          <w:between w:val="nil"/>
        </w:pBdr>
        <w:tabs>
          <w:tab w:val="left" w:pos="432"/>
          <w:tab w:val="left" w:pos="4820"/>
        </w:tabs>
        <w:spacing w:after="120" w:line="360" w:lineRule="auto"/>
        <w:jc w:val="both"/>
        <w:rPr>
          <w:rFonts w:ascii="Arial" w:eastAsia="Arial" w:hAnsi="Arial" w:cs="Arial"/>
          <w:color w:val="010000"/>
          <w:sz w:val="20"/>
          <w:szCs w:val="20"/>
        </w:rPr>
      </w:pPr>
      <w:r>
        <w:rPr>
          <w:rFonts w:ascii="Arial" w:hAnsi="Arial"/>
          <w:color w:val="010000"/>
          <w:sz w:val="20"/>
        </w:rPr>
        <w:t>Par value: VND 10.000</w:t>
      </w:r>
    </w:p>
    <w:p w14:paraId="2A97089E" w14:textId="77777777" w:rsidR="00944CA2" w:rsidRPr="009F2044" w:rsidRDefault="00726AEF" w:rsidP="00FD7C55">
      <w:pPr>
        <w:numPr>
          <w:ilvl w:val="0"/>
          <w:numId w:val="11"/>
        </w:numPr>
        <w:pBdr>
          <w:top w:val="nil"/>
          <w:left w:val="nil"/>
          <w:bottom w:val="nil"/>
          <w:right w:val="nil"/>
          <w:between w:val="nil"/>
        </w:pBdr>
        <w:tabs>
          <w:tab w:val="left" w:pos="432"/>
          <w:tab w:val="left" w:pos="4820"/>
        </w:tabs>
        <w:spacing w:after="120" w:line="360" w:lineRule="auto"/>
        <w:jc w:val="both"/>
        <w:rPr>
          <w:rFonts w:ascii="Arial" w:eastAsia="Arial" w:hAnsi="Arial" w:cs="Arial"/>
          <w:color w:val="010000"/>
          <w:sz w:val="20"/>
          <w:szCs w:val="20"/>
        </w:rPr>
      </w:pPr>
      <w:r>
        <w:rPr>
          <w:rFonts w:ascii="Arial" w:hAnsi="Arial"/>
          <w:color w:val="010000"/>
          <w:sz w:val="20"/>
        </w:rPr>
        <w:lastRenderedPageBreak/>
        <w:t>Dividend payment rate in 2022: 10%/par value of share</w:t>
      </w:r>
    </w:p>
    <w:p w14:paraId="7F32541C" w14:textId="77777777" w:rsidR="00944CA2" w:rsidRPr="009F2044" w:rsidRDefault="00726AEF" w:rsidP="00FD7C55">
      <w:pPr>
        <w:numPr>
          <w:ilvl w:val="0"/>
          <w:numId w:val="11"/>
        </w:numPr>
        <w:pBdr>
          <w:top w:val="nil"/>
          <w:left w:val="nil"/>
          <w:bottom w:val="nil"/>
          <w:right w:val="nil"/>
          <w:between w:val="nil"/>
        </w:pBdr>
        <w:tabs>
          <w:tab w:val="left" w:pos="432"/>
          <w:tab w:val="left" w:pos="4820"/>
        </w:tabs>
        <w:spacing w:after="120" w:line="360" w:lineRule="auto"/>
        <w:jc w:val="both"/>
        <w:rPr>
          <w:rFonts w:ascii="Arial" w:eastAsia="Arial" w:hAnsi="Arial" w:cs="Arial"/>
          <w:color w:val="010000"/>
          <w:sz w:val="20"/>
          <w:szCs w:val="20"/>
        </w:rPr>
      </w:pPr>
      <w:r>
        <w:rPr>
          <w:rFonts w:ascii="Arial" w:hAnsi="Arial"/>
          <w:color w:val="010000"/>
          <w:sz w:val="20"/>
        </w:rPr>
        <w:t>Dividend payment method: By share</w:t>
      </w:r>
    </w:p>
    <w:p w14:paraId="48D1B7A6" w14:textId="77777777" w:rsidR="00944CA2" w:rsidRPr="009F2044" w:rsidRDefault="00726AEF" w:rsidP="00FD7C55">
      <w:pPr>
        <w:numPr>
          <w:ilvl w:val="0"/>
          <w:numId w:val="11"/>
        </w:numPr>
        <w:pBdr>
          <w:top w:val="nil"/>
          <w:left w:val="nil"/>
          <w:bottom w:val="nil"/>
          <w:right w:val="nil"/>
          <w:between w:val="nil"/>
        </w:pBdr>
        <w:tabs>
          <w:tab w:val="left" w:pos="432"/>
          <w:tab w:val="left" w:pos="4820"/>
        </w:tabs>
        <w:spacing w:after="120" w:line="360" w:lineRule="auto"/>
        <w:jc w:val="both"/>
        <w:rPr>
          <w:rFonts w:ascii="Arial" w:eastAsia="Arial" w:hAnsi="Arial" w:cs="Arial"/>
          <w:color w:val="010000"/>
          <w:sz w:val="20"/>
          <w:szCs w:val="20"/>
        </w:rPr>
      </w:pPr>
      <w:r>
        <w:rPr>
          <w:rFonts w:ascii="Arial" w:hAnsi="Arial"/>
          <w:color w:val="010000"/>
          <w:sz w:val="20"/>
        </w:rPr>
        <w:t>Dividend payment source: From profit after tax in 2022</w:t>
      </w:r>
    </w:p>
    <w:p w14:paraId="307F3059" w14:textId="77777777" w:rsidR="00944CA2" w:rsidRPr="009F2044" w:rsidRDefault="00726AEF" w:rsidP="00FD7C55">
      <w:pPr>
        <w:numPr>
          <w:ilvl w:val="0"/>
          <w:numId w:val="11"/>
        </w:numPr>
        <w:pBdr>
          <w:top w:val="nil"/>
          <w:left w:val="nil"/>
          <w:bottom w:val="nil"/>
          <w:right w:val="nil"/>
          <w:between w:val="nil"/>
        </w:pBdr>
        <w:tabs>
          <w:tab w:val="left" w:pos="432"/>
          <w:tab w:val="left" w:pos="4820"/>
        </w:tabs>
        <w:spacing w:after="120" w:line="360" w:lineRule="auto"/>
        <w:jc w:val="both"/>
        <w:rPr>
          <w:rFonts w:ascii="Arial" w:eastAsia="Arial" w:hAnsi="Arial" w:cs="Arial"/>
          <w:color w:val="010000"/>
          <w:sz w:val="20"/>
          <w:szCs w:val="20"/>
        </w:rPr>
      </w:pPr>
      <w:r>
        <w:rPr>
          <w:rFonts w:ascii="Arial" w:hAnsi="Arial"/>
          <w:color w:val="010000"/>
          <w:sz w:val="20"/>
        </w:rPr>
        <w:t>Expected dividend payment date: Q2-Q4/2023</w:t>
      </w:r>
    </w:p>
    <w:p w14:paraId="1A6EA665" w14:textId="77777777" w:rsidR="00944CA2" w:rsidRPr="009F2044" w:rsidRDefault="00726AEF" w:rsidP="00FD7C55">
      <w:pPr>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plan on share issuance to pay dividends in 2022 as follows:</w:t>
      </w:r>
    </w:p>
    <w:p w14:paraId="21F21EED" w14:textId="77777777" w:rsidR="00944CA2" w:rsidRPr="009F2044" w:rsidRDefault="00726AEF" w:rsidP="00FD7C55">
      <w:pPr>
        <w:numPr>
          <w:ilvl w:val="0"/>
          <w:numId w:val="7"/>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share issuance plan</w:t>
      </w:r>
    </w:p>
    <w:p w14:paraId="60992058"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Share name: Vietnam Germany Steel Pipe JSC</w:t>
      </w:r>
    </w:p>
    <w:p w14:paraId="6D7ABD49"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Securities code: VGS</w:t>
      </w:r>
    </w:p>
    <w:p w14:paraId="18BC9A40"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Share type: Common share</w:t>
      </w:r>
    </w:p>
    <w:p w14:paraId="16763F20"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484,279,210,000 </w:t>
      </w:r>
    </w:p>
    <w:p w14:paraId="5160791A"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Par value: VND 10,000/share </w:t>
      </w:r>
    </w:p>
    <w:p w14:paraId="7D12C969"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Number of issued shares: 48,427,921 shares </w:t>
      </w:r>
    </w:p>
    <w:p w14:paraId="54C5C1B8"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Number of treasury shares: 0 shares </w:t>
      </w:r>
    </w:p>
    <w:p w14:paraId="41A5A45C"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Number of outstanding shares: 48,427,921 shares </w:t>
      </w:r>
    </w:p>
    <w:p w14:paraId="0A9F2236"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Number of shares expected to be issued: 4,842,792 shares </w:t>
      </w:r>
    </w:p>
    <w:p w14:paraId="15F01B5B"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Issuance price: VND 10,000/share </w:t>
      </w:r>
    </w:p>
    <w:p w14:paraId="37562C34"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Total value of issued shares: 48,427,921,000 </w:t>
      </w:r>
    </w:p>
    <w:p w14:paraId="7FEA9EEE"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Subjects of the issuance: All existing shareholders named in the list of shareholders on the record date to exercise the rights to receive shares.</w:t>
      </w:r>
    </w:p>
    <w:p w14:paraId="66DFFAB5"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Exercise rate of existing shareholders 100:10 (on the record date for the list of shareholders, shareholders owning 100 shares will receive 10 additional issued shares).</w:t>
      </w:r>
    </w:p>
    <w:p w14:paraId="39A1E179"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Issuance purpose: Issue shares to pay dividends in 2022 for existing shareholders.</w:t>
      </w:r>
    </w:p>
    <w:p w14:paraId="1253B221"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Source of capital for the issuance: From the profit after tax as at December 31, 2022 according to the audited financial statements 2022 </w:t>
      </w:r>
    </w:p>
    <w:p w14:paraId="2FE5674B"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Rounding and handling fractional shares: The number of shares issued will be rounded down to the unit, the fractional (if any) arising will be canceled.</w:t>
      </w:r>
    </w:p>
    <w:p w14:paraId="0EB870C8"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For example: Shareholder A owns 549 shares, with the rights exercising rate of 20%, the number of shares that shareholder A will receive: 543/100x10 = 54.3 shares. According to the above rounding principle, the number of new shares that shareholder A will receive is 54 shares, the fractional shares (0.3 shares) will be disposed.</w:t>
      </w:r>
    </w:p>
    <w:p w14:paraId="54CB558A"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Regulations on transfer restrictions: No restriction</w:t>
      </w:r>
    </w:p>
    <w:p w14:paraId="179D6168"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Expected time of issuance: After being approved by the competent State agency; expected from </w:t>
      </w:r>
      <w:r>
        <w:rPr>
          <w:rFonts w:ascii="Arial" w:hAnsi="Arial"/>
          <w:color w:val="010000"/>
          <w:sz w:val="20"/>
        </w:rPr>
        <w:lastRenderedPageBreak/>
        <w:t>Q2 to Q4/2023</w:t>
      </w:r>
    </w:p>
    <w:p w14:paraId="0BAE9732"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Distribution method:</w:t>
      </w:r>
    </w:p>
    <w:p w14:paraId="43EB066C" w14:textId="77777777" w:rsidR="00944CA2" w:rsidRPr="009F2044" w:rsidRDefault="00726AEF" w:rsidP="00FD7C5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For deposited securities: Shareholders carry out procedures to receive dividends by shares at the Depository members where their accounts were opened.</w:t>
      </w:r>
    </w:p>
    <w:p w14:paraId="2A622BFC" w14:textId="77777777" w:rsidR="00944CA2" w:rsidRPr="009F2044" w:rsidRDefault="00726AEF" w:rsidP="00FD7C55">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For </w:t>
      </w:r>
      <w:proofErr w:type="spellStart"/>
      <w:r>
        <w:rPr>
          <w:rFonts w:ascii="Arial" w:hAnsi="Arial"/>
          <w:color w:val="010000"/>
          <w:sz w:val="20"/>
        </w:rPr>
        <w:t>undeposited</w:t>
      </w:r>
      <w:proofErr w:type="spellEnd"/>
      <w:r>
        <w:rPr>
          <w:rFonts w:ascii="Arial" w:hAnsi="Arial"/>
          <w:color w:val="010000"/>
          <w:sz w:val="20"/>
        </w:rPr>
        <w:t xml:space="preserve"> securities: Securities owners carry out procedures to receive dividends by shares at the Headquarters of Vietnam Germany Steel Pipe JSC,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Industrial Park, Dao Duc Town,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District,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w:t>
      </w:r>
    </w:p>
    <w:p w14:paraId="133E38B8" w14:textId="77777777" w:rsidR="00944CA2" w:rsidRPr="009F2044" w:rsidRDefault="00726AEF" w:rsidP="00FD7C55">
      <w:pPr>
        <w:numPr>
          <w:ilvl w:val="0"/>
          <w:numId w:val="7"/>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Approve on changing the company's charter capital in the company's charter and adjusting the Business Registration Certificate at the Department of Planning and Investment of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 after obtaining approval of the results report from the State Securities Commission.</w:t>
      </w:r>
    </w:p>
    <w:p w14:paraId="551299F9" w14:textId="77777777" w:rsidR="00944CA2" w:rsidRPr="009F2044" w:rsidRDefault="00726AEF" w:rsidP="00FD7C55">
      <w:pPr>
        <w:numPr>
          <w:ilvl w:val="0"/>
          <w:numId w:val="7"/>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on authorizing the company's the Board of Directors to perform tasks related to share issuance to pay dividends in 2022 as follows:</w:t>
      </w:r>
    </w:p>
    <w:p w14:paraId="45A9C8F6"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Decide to amend, supplement, complete, and specify the details of the plan to issue shares mentioned above and/or amend, supplement, and change the issuance plan as necessary or as required by the competent authority to ensure a successful issuance;</w:t>
      </w:r>
    </w:p>
    <w:p w14:paraId="1D8F679A"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Choose the timing of issuance, building, completing, amending, and supplementing (if any) the share issuance dossier to submit to the competent authority;</w:t>
      </w:r>
    </w:p>
    <w:p w14:paraId="21863772" w14:textId="7C1B411A"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Decide the timing of recording the list of shareholder</w:t>
      </w:r>
      <w:r w:rsidR="00897AA2">
        <w:rPr>
          <w:rFonts w:ascii="Arial" w:hAnsi="Arial"/>
          <w:color w:val="010000"/>
          <w:sz w:val="20"/>
        </w:rPr>
        <w:t>s</w:t>
      </w:r>
      <w:r>
        <w:rPr>
          <w:rFonts w:ascii="Arial" w:hAnsi="Arial"/>
          <w:color w:val="010000"/>
          <w:sz w:val="20"/>
        </w:rPr>
        <w:t xml:space="preserve"> to exercise rights, other related timelines for implementing the issuance, and performing procedures for recording the list of shareholder</w:t>
      </w:r>
      <w:r w:rsidR="00897AA2">
        <w:rPr>
          <w:rFonts w:ascii="Arial" w:hAnsi="Arial"/>
          <w:color w:val="010000"/>
          <w:sz w:val="20"/>
        </w:rPr>
        <w:t>s</w:t>
      </w:r>
      <w:r>
        <w:rPr>
          <w:rFonts w:ascii="Arial" w:hAnsi="Arial"/>
          <w:color w:val="010000"/>
          <w:sz w:val="20"/>
        </w:rPr>
        <w:t xml:space="preserve"> as regulated.</w:t>
      </w:r>
    </w:p>
    <w:p w14:paraId="3509C23E"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Amend and supplement relevant provisions in the Company's Charter to record the newly increased charter capital after completing the issuance;</w:t>
      </w:r>
    </w:p>
    <w:p w14:paraId="526D9658"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on increasing the charter capital and carrying out necessary legal procedures to change the charter capital in the corresponding Business Registration Certificate to the actual total par value of shares issued after completing the issuance;</w:t>
      </w:r>
    </w:p>
    <w:p w14:paraId="512D954B"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Carry out procedures related to the State Securities Commission; Vietnam Securities Depository (VSD); Hanoi Stock Exchange (HNX); and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Department of Planning and Investment.</w:t>
      </w:r>
    </w:p>
    <w:p w14:paraId="5CC54A97"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Decide on other related issues arising during the process of issuing shares to pay dividends for shareholders in 2022 as requested by competent state agencies.</w:t>
      </w:r>
    </w:p>
    <w:p w14:paraId="17CB75B9" w14:textId="77777777" w:rsidR="00944CA2" w:rsidRPr="009F2044" w:rsidRDefault="00726AEF" w:rsidP="00FD7C55">
      <w:pPr>
        <w:keepNext/>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on adjusting the Viet Duc Legend City Urban Area Project plan</w:t>
      </w:r>
    </w:p>
    <w:p w14:paraId="736FFF23" w14:textId="77777777" w:rsidR="00944CA2" w:rsidRPr="009F2044" w:rsidRDefault="00726AEF" w:rsidP="00FD7C55">
      <w:pPr>
        <w:numPr>
          <w:ilvl w:val="0"/>
          <w:numId w:val="1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Adjusting the project scale: The total land area for implementing the project is 620,798m2, divided into 2 phases with the investment and construction scale for each phase as follows: </w:t>
      </w:r>
    </w:p>
    <w:p w14:paraId="2A9BE61D"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Phase No.1: Implemented on an area of ​​275,159 m2, including the following construction items: Commercial townhouse area; Villa area; Commercial apartment area; Social housing land; Service commercial area; Public works area including cultural houses, kindergartens, healthcare facilities and </w:t>
      </w:r>
      <w:r>
        <w:rPr>
          <w:rFonts w:ascii="Arial" w:hAnsi="Arial"/>
          <w:color w:val="010000"/>
          <w:sz w:val="20"/>
        </w:rPr>
        <w:lastRenderedPageBreak/>
        <w:t>other items including greenery, sports, transportation, technical facilities, parking lots.</w:t>
      </w:r>
    </w:p>
    <w:p w14:paraId="39D7BEE0"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Phase No.2: Implemented on an area of ​​345,639m2, including the following construction items: Commercial townhouse area; Villa area; Social apartment area; Service commercial area; Public works area including kindergartens, primary schools, high schools and other items: greenery, sports, transportation, technical facilities.  </w:t>
      </w:r>
    </w:p>
    <w:p w14:paraId="24C27723"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The detailed contents and summary table of the construction scale and population of the project are detailed in the proposal and project documents.</w:t>
      </w:r>
    </w:p>
    <w:p w14:paraId="5361326F" w14:textId="77777777" w:rsidR="00944CA2" w:rsidRPr="009F2044" w:rsidRDefault="00726AEF" w:rsidP="00FD7C55">
      <w:pPr>
        <w:numPr>
          <w:ilvl w:val="0"/>
          <w:numId w:val="1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Adjustment of total project investment:</w:t>
      </w:r>
    </w:p>
    <w:p w14:paraId="52D8B96B" w14:textId="77777777" w:rsidR="00944CA2" w:rsidRPr="009F2044" w:rsidRDefault="00726AEF" w:rsidP="00FD7C55">
      <w:pPr>
        <w:numPr>
          <w:ilvl w:val="0"/>
          <w:numId w:val="11"/>
        </w:numPr>
        <w:pBdr>
          <w:top w:val="nil"/>
          <w:left w:val="nil"/>
          <w:bottom w:val="nil"/>
          <w:right w:val="nil"/>
          <w:between w:val="nil"/>
        </w:pBdr>
        <w:tabs>
          <w:tab w:val="left" w:pos="426"/>
          <w:tab w:val="left" w:pos="3546"/>
          <w:tab w:val="center" w:pos="4090"/>
          <w:tab w:val="right" w:pos="4685"/>
          <w:tab w:val="right" w:pos="5236"/>
          <w:tab w:val="right" w:pos="5624"/>
          <w:tab w:val="right" w:pos="6046"/>
          <w:tab w:val="center" w:pos="6325"/>
          <w:tab w:val="right" w:pos="8639"/>
          <w:tab w:val="right" w:pos="8804"/>
        </w:tabs>
        <w:spacing w:after="120" w:line="360" w:lineRule="auto"/>
        <w:jc w:val="both"/>
        <w:rPr>
          <w:rFonts w:ascii="Arial" w:eastAsia="Arial" w:hAnsi="Arial" w:cs="Arial"/>
          <w:color w:val="010000"/>
          <w:sz w:val="20"/>
          <w:szCs w:val="20"/>
        </w:rPr>
      </w:pPr>
      <w:r>
        <w:rPr>
          <w:rFonts w:ascii="Arial" w:hAnsi="Arial"/>
          <w:color w:val="010000"/>
          <w:sz w:val="20"/>
        </w:rPr>
        <w:t>Total investment value: VND 6,686.5 (VAT included). In which:</w:t>
      </w:r>
    </w:p>
    <w:p w14:paraId="5F4E29B1" w14:textId="77777777" w:rsidR="00944CA2" w:rsidRPr="009F2044" w:rsidRDefault="00726AEF" w:rsidP="00FD7C55">
      <w:pPr>
        <w:numPr>
          <w:ilvl w:val="0"/>
          <w:numId w:val="2"/>
        </w:numPr>
        <w:pBdr>
          <w:top w:val="nil"/>
          <w:left w:val="nil"/>
          <w:bottom w:val="nil"/>
          <w:right w:val="nil"/>
          <w:between w:val="nil"/>
        </w:pBdr>
        <w:tabs>
          <w:tab w:val="left" w:pos="426"/>
          <w:tab w:val="left" w:pos="3546"/>
          <w:tab w:val="center" w:pos="4090"/>
          <w:tab w:val="right" w:pos="4685"/>
          <w:tab w:val="right" w:pos="5236"/>
        </w:tabs>
        <w:spacing w:after="120" w:line="360" w:lineRule="auto"/>
        <w:ind w:left="0" w:firstLine="0"/>
        <w:jc w:val="both"/>
        <w:rPr>
          <w:rFonts w:ascii="Arial" w:eastAsia="Arial" w:hAnsi="Arial" w:cs="Arial"/>
          <w:color w:val="010000"/>
          <w:sz w:val="20"/>
          <w:szCs w:val="20"/>
        </w:rPr>
      </w:pPr>
      <w:r>
        <w:rPr>
          <w:rFonts w:ascii="Arial" w:hAnsi="Arial"/>
          <w:color w:val="010000"/>
          <w:sz w:val="20"/>
        </w:rPr>
        <w:t>Phase 1: VND 3,537.3 billion</w:t>
      </w:r>
    </w:p>
    <w:p w14:paraId="54A253C0" w14:textId="77777777" w:rsidR="00944CA2" w:rsidRPr="009F2044" w:rsidRDefault="00726AEF" w:rsidP="00FD7C55">
      <w:pPr>
        <w:numPr>
          <w:ilvl w:val="0"/>
          <w:numId w:val="2"/>
        </w:numPr>
        <w:pBdr>
          <w:top w:val="nil"/>
          <w:left w:val="nil"/>
          <w:bottom w:val="nil"/>
          <w:right w:val="nil"/>
          <w:between w:val="nil"/>
        </w:pBdr>
        <w:tabs>
          <w:tab w:val="left" w:pos="426"/>
          <w:tab w:val="left" w:pos="3546"/>
          <w:tab w:val="center" w:pos="4090"/>
          <w:tab w:val="right" w:pos="4685"/>
          <w:tab w:val="right" w:pos="5236"/>
        </w:tabs>
        <w:spacing w:after="120" w:line="360" w:lineRule="auto"/>
        <w:ind w:left="0" w:firstLine="0"/>
        <w:jc w:val="both"/>
        <w:rPr>
          <w:rFonts w:ascii="Arial" w:eastAsia="Arial" w:hAnsi="Arial" w:cs="Arial"/>
          <w:color w:val="010000"/>
          <w:sz w:val="20"/>
          <w:szCs w:val="20"/>
        </w:rPr>
      </w:pPr>
      <w:r>
        <w:rPr>
          <w:rFonts w:ascii="Arial" w:hAnsi="Arial"/>
          <w:color w:val="010000"/>
          <w:sz w:val="20"/>
        </w:rPr>
        <w:t>Phase 2: VND 3,149.2 billion</w:t>
      </w:r>
    </w:p>
    <w:p w14:paraId="7273CE8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above total investment is determined at the time based on the regulations of the State. However, it is subject to change due to design changes and State regulations.</w:t>
      </w:r>
    </w:p>
    <w:p w14:paraId="5FC712D1" w14:textId="77777777" w:rsidR="00944CA2" w:rsidRPr="009F2044" w:rsidRDefault="00726AEF" w:rsidP="00FD7C55">
      <w:pPr>
        <w:numPr>
          <w:ilvl w:val="0"/>
          <w:numId w:val="1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Structure of capital sources to implement the project investment</w:t>
      </w:r>
    </w:p>
    <w:p w14:paraId="7329CCD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investment is VND 6,686.5 billion, the investor's contributed capital is VND 1,148.6 billion and loans from banks, credit institutions and other mobilized is VND 5,537.9 billion. In which:</w:t>
      </w:r>
    </w:p>
    <w:p w14:paraId="25A44A0B" w14:textId="77777777" w:rsidR="00944CA2" w:rsidRPr="009F2044" w:rsidRDefault="00726AEF" w:rsidP="00FD7C55">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Phase 1 The total investment capital for the project is VND 3,537.3 billion, with the investor's contributed capital being VND 648.6 billion (currently, the contributed capital of the investor that has been put in to carry out the project is VND 382 billion) and the remaining amount of VND 2,888.7 billion coming from bank loans, credit institutions, and other sources of capital.</w:t>
      </w:r>
    </w:p>
    <w:p w14:paraId="2AB95E3D" w14:textId="77777777" w:rsidR="00944CA2" w:rsidRPr="009F2044" w:rsidRDefault="00726AEF" w:rsidP="00FD7C55">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Phase 2 The total investment capital for this phase is VND 3,149.2 billion, with the investor's contributed capital being VND 500 billion and the remaining amount of VND 2,649.2 billion coming from bank loans, credit institutions, and other sources of capital.</w:t>
      </w:r>
    </w:p>
    <w:p w14:paraId="246126A0"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The status of the investor's contributed capital for the project is as follows:</w:t>
      </w:r>
    </w:p>
    <w:p w14:paraId="3E138125" w14:textId="77777777" w:rsidR="00944CA2" w:rsidRPr="009F2044" w:rsidRDefault="00726AEF" w:rsidP="00FD7C55">
      <w:pPr>
        <w:numPr>
          <w:ilvl w:val="0"/>
          <w:numId w:val="1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in phase 1: According to the consolidated financial statements as of December 31, 2022, the owners' equity to contribute VND 648.6 billion is sufficient (currently, the investor has spent VND 382 billion on land, site clearance, and infrastructure; the remaining VND 266.6 billion will be invested according to the project schedule).</w:t>
      </w:r>
    </w:p>
    <w:p w14:paraId="0D4E4B0D" w14:textId="77777777" w:rsidR="00944CA2" w:rsidRPr="009F2044" w:rsidRDefault="00726AEF" w:rsidP="00FD7C55">
      <w:pPr>
        <w:numPr>
          <w:ilvl w:val="0"/>
          <w:numId w:val="1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in phase 2: It is expected to be carried out from Q2/2023 to the end of 2027, and the capital for this phase will be taken from: The profits from the company's business operations and the profit after tax from the sale of the project's products from phase 1. The company will use VND 500 billion from profit after tax to invest in phase 2 as committed. In case the profit is not sufficient to meet this capital amount, the company will issue shares to existing shareholders or offer them to increase the contributed capital for the project.</w:t>
      </w:r>
    </w:p>
    <w:p w14:paraId="0FA1E6B3" w14:textId="77777777" w:rsidR="00944CA2" w:rsidRPr="009F2044" w:rsidRDefault="00726AEF" w:rsidP="00FD7C55">
      <w:pPr>
        <w:numPr>
          <w:ilvl w:val="0"/>
          <w:numId w:val="1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Adjustment of project implementation schedule:</w:t>
      </w:r>
    </w:p>
    <w:p w14:paraId="511C249D" w14:textId="77777777" w:rsidR="00944CA2" w:rsidRPr="009F2044" w:rsidRDefault="00726AEF" w:rsidP="00FD7C55">
      <w:pPr>
        <w:keepNext/>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and authorize the Board of Directors to carry out the following tasks related to the Viet Duc Legend City urban area project:</w:t>
      </w:r>
    </w:p>
    <w:p w14:paraId="3FB56EBB"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adjustment of the Viet Duc Legend City project to align with the approved investment schedule.</w:t>
      </w:r>
    </w:p>
    <w:p w14:paraId="2E65D1A7"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adjustment of the overall project and its components (in case of changes in planning, investment capital structure, or cost fluctuations, if any); Organize the implementation procedures of the adjustment of investment policies when changing the planning and total investment capital according to the state's regulations.</w:t>
      </w:r>
    </w:p>
    <w:p w14:paraId="1328C5B8"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investment projects for architectural works on land according to planning approved by competent authorities.</w:t>
      </w:r>
    </w:p>
    <w:p w14:paraId="1E35D35A"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Make investment cooperation decisions with partners who have the capacity and experience to implement the entire or partial project (including technical infrastructure and architectural works) if they ensure economic efficiency and comply with the provisions of the law and the company.</w:t>
      </w:r>
    </w:p>
    <w:p w14:paraId="11F9DD51"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Actively mobilize capital sources such as borrowing from credit organizations, banks, issuing bonds, issuing stocks to increase capital for investment, and mobilizing from other sources not prohibited by law... based on the actual needs of the project, ensuring the project's effectiveness.</w:t>
      </w:r>
    </w:p>
    <w:p w14:paraId="39AC3A0D"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Agree to use the existing owner's capital as of December 31, 2022, to contribute to the investment in Phase I of the Project and use the profit after tax from subsequent years from production and business activities and the sale of Phase I products to contribute to the investment in Phase II to ensure participation capital according to State regulations. In case the company's profit is insufficient, agree to issue shares to existing shareholders or public offering to increase capital for the company's investment in the Project.</w:t>
      </w:r>
    </w:p>
    <w:p w14:paraId="1F3BE575"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Proactively seek experienced partners in the real estate field to cooperate in implementing the project or be allowed to transfer the project to other partners under Vietnamese Law and effective for the company.</w:t>
      </w:r>
    </w:p>
    <w:p w14:paraId="57DE8016"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Proactively select contractors, be authorized to approve other documents and procedures related to the project.</w:t>
      </w:r>
    </w:p>
    <w:p w14:paraId="0DE4A9E1"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Decide on investment/sale/cooperation/transfer of the project/establishment of a sales plan for the urban area. Have the rights to decide on construction costs, investment rates, and the selling price of apartments/transfer price of a part or the entire project based on efficiency for the company and shareholders, while complying with the regulations of the law.</w:t>
      </w:r>
    </w:p>
    <w:p w14:paraId="1855E712"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In case of issuing bonds or shares, have the rights to decide on the issuance plan and use the capital raised from bonds, shares (if any) to obtain investment capital for the project.</w:t>
      </w:r>
    </w:p>
    <w:p w14:paraId="328E5836"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Decide on other content related to project investment within the authority of the General Meeting of Shareholders and organizations, implement and carry out the project to ensure that it progresses according to the plan and is effective.</w:t>
      </w:r>
    </w:p>
    <w:p w14:paraId="19DACBB6" w14:textId="77777777" w:rsidR="00944CA2" w:rsidRPr="009F2044" w:rsidRDefault="00726AEF" w:rsidP="00FD7C55">
      <w:pPr>
        <w:keepNext/>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selection of the audit company for the Financial Statements</w:t>
      </w:r>
    </w:p>
    <w:p w14:paraId="79C5D28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Selection of audit company for the semi-annual financial statements and the financial statements for 2023: Authorize the Board of Directors and the Board of Management to actively select and approve an audit company on the basis that the audit company is qualified and reputable and must be approved by the State Securities Commission.</w:t>
      </w:r>
    </w:p>
    <w:p w14:paraId="352A0425" w14:textId="77777777" w:rsidR="00944CA2" w:rsidRPr="009F2044" w:rsidRDefault="00726AEF" w:rsidP="00FD7C55">
      <w:pPr>
        <w:keepNext/>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amendments and supplements </w:t>
      </w:r>
    </w:p>
    <w:p w14:paraId="27EDD26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supplement and amendment of the Charter and Regulations on internal organization; Regulations on organization of the Board of Directors in compliance with the regulations and with the actual operation situation.</w:t>
      </w:r>
    </w:p>
    <w:p w14:paraId="69ACFCB9" w14:textId="77777777" w:rsidR="00944CA2" w:rsidRPr="009F2044" w:rsidRDefault="00726AEF" w:rsidP="00FD7C55">
      <w:pPr>
        <w:keepNext/>
        <w:numPr>
          <w:ilvl w:val="2"/>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General Mandate</w:t>
      </w:r>
    </w:p>
    <w:p w14:paraId="2C684077"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The General Mandate consists of 5 pages and was approved at the Annual General Meeting of Shareholders of Vietnam Germany Steel Pipe JSC, held on April 15, 2023.</w:t>
      </w:r>
    </w:p>
    <w:p w14:paraId="367DE75A"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The General Mandate is effective from April 15, 2023, and the Board of Directors of Vietnam Germany Steel Pipe JSC is responsible for organizing and leading the implementation of the contents of this General Mandate.</w:t>
      </w:r>
    </w:p>
    <w:p w14:paraId="17214489" w14:textId="77777777" w:rsidR="00944CA2" w:rsidRPr="009F2044" w:rsidRDefault="00726AEF" w:rsidP="00FD7C55">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The General Mandate will be sent to all shareholders of Vietnam Germany Steel Pipe JSC via the website:  vgpipe.com.vn</w:t>
      </w:r>
    </w:p>
    <w:p w14:paraId="724EF144" w14:textId="77777777" w:rsidR="00944CA2" w:rsidRPr="009F2044" w:rsidRDefault="00726AEF" w:rsidP="00FD7C55">
      <w:pPr>
        <w:keepNext/>
        <w:numPr>
          <w:ilvl w:val="0"/>
          <w:numId w:val="1"/>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Pr>
          <w:rFonts w:ascii="Arial" w:hAnsi="Arial"/>
          <w:color w:val="010000"/>
          <w:sz w:val="20"/>
        </w:rPr>
        <w:t>BOARD OF DIRECTORS</w:t>
      </w:r>
    </w:p>
    <w:p w14:paraId="598AB211" w14:textId="77777777" w:rsidR="00944CA2" w:rsidRPr="009F2044" w:rsidRDefault="00726AEF" w:rsidP="00FD7C55">
      <w:pPr>
        <w:keepNext/>
        <w:numPr>
          <w:ilvl w:val="1"/>
          <w:numId w:val="1"/>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Board of Directors</w:t>
      </w:r>
    </w:p>
    <w:p w14:paraId="38DE137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in the period of 2022-2026 elected by the General Meeting of Shareholders at the Annual General Meeting of Shareholders 2022, specifically as follows:</w:t>
      </w:r>
    </w:p>
    <w:p w14:paraId="3A9D752D" w14:textId="77777777" w:rsidR="00944CA2" w:rsidRPr="009F2044" w:rsidRDefault="00726AEF" w:rsidP="00FD7C55">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number of members of the Board of Directors in the term is 6.</w:t>
      </w:r>
    </w:p>
    <w:p w14:paraId="45A51AFC" w14:textId="77777777" w:rsidR="00944CA2" w:rsidRPr="009F2044" w:rsidRDefault="00726AEF" w:rsidP="00FD7C55">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structure of non-executive members of the Board of Directors, independent members of the Board of Directors meets the standards in Article 155 of the Law on Enterprises 2020, specifically:</w:t>
      </w:r>
    </w:p>
    <w:p w14:paraId="6A091501" w14:textId="77777777" w:rsidR="00944CA2" w:rsidRPr="009F2044" w:rsidRDefault="00726AEF" w:rsidP="00FD7C5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Executive member of the Board of Directors: 03 members:</w:t>
      </w:r>
    </w:p>
    <w:p w14:paraId="7977B0EF" w14:textId="77777777" w:rsidR="00944CA2" w:rsidRPr="009F2044" w:rsidRDefault="00726AEF" w:rsidP="00FD7C5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number of non-executive members of the Board of Directors is 3 members. In which: The number of independent members of the Board of Directors is 02.</w:t>
      </w:r>
    </w:p>
    <w:p w14:paraId="7FCBBE67" w14:textId="77777777" w:rsidR="00944CA2" w:rsidRPr="009F2044" w:rsidRDefault="00726AEF" w:rsidP="00FD7C55">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composition and titles of each member of the Board of Directors for the 2022-2026 term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2368"/>
        <w:gridCol w:w="2509"/>
        <w:gridCol w:w="2002"/>
        <w:gridCol w:w="1546"/>
      </w:tblGrid>
      <w:tr w:rsidR="00944CA2" w:rsidRPr="009F2044" w14:paraId="65D1F709" w14:textId="77777777" w:rsidTr="009F2044">
        <w:trPr>
          <w:cantSplit/>
        </w:trPr>
        <w:tc>
          <w:tcPr>
            <w:tcW w:w="329" w:type="pct"/>
            <w:vMerge w:val="restart"/>
            <w:shd w:val="clear" w:color="auto" w:fill="auto"/>
            <w:tcMar>
              <w:top w:w="0" w:type="dxa"/>
              <w:bottom w:w="0" w:type="dxa"/>
            </w:tcMar>
            <w:vAlign w:val="center"/>
          </w:tcPr>
          <w:p w14:paraId="46545FBE"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313" w:type="pct"/>
            <w:vMerge w:val="restart"/>
            <w:shd w:val="clear" w:color="auto" w:fill="auto"/>
            <w:tcMar>
              <w:top w:w="0" w:type="dxa"/>
              <w:bottom w:w="0" w:type="dxa"/>
            </w:tcMar>
            <w:vAlign w:val="center"/>
          </w:tcPr>
          <w:p w14:paraId="2DE9CC4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391" w:type="pct"/>
            <w:vMerge w:val="restart"/>
            <w:shd w:val="clear" w:color="auto" w:fill="auto"/>
            <w:tcMar>
              <w:top w:w="0" w:type="dxa"/>
              <w:bottom w:w="0" w:type="dxa"/>
            </w:tcMar>
            <w:vAlign w:val="center"/>
          </w:tcPr>
          <w:p w14:paraId="7D4E618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968" w:type="pct"/>
            <w:gridSpan w:val="2"/>
            <w:shd w:val="clear" w:color="auto" w:fill="auto"/>
            <w:tcMar>
              <w:top w:w="0" w:type="dxa"/>
              <w:bottom w:w="0" w:type="dxa"/>
            </w:tcMar>
            <w:vAlign w:val="center"/>
          </w:tcPr>
          <w:p w14:paraId="42FFAE6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44CA2" w:rsidRPr="009F2044" w14:paraId="48B47CE3" w14:textId="77777777" w:rsidTr="009F2044">
        <w:trPr>
          <w:cantSplit/>
        </w:trPr>
        <w:tc>
          <w:tcPr>
            <w:tcW w:w="329" w:type="pct"/>
            <w:vMerge/>
            <w:shd w:val="clear" w:color="auto" w:fill="auto"/>
            <w:tcMar>
              <w:top w:w="0" w:type="dxa"/>
              <w:bottom w:w="0" w:type="dxa"/>
            </w:tcMar>
            <w:vAlign w:val="center"/>
          </w:tcPr>
          <w:p w14:paraId="42FF03C3" w14:textId="77777777" w:rsidR="00944CA2" w:rsidRPr="009F2044" w:rsidRDefault="00944CA2" w:rsidP="00FD7C5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13" w:type="pct"/>
            <w:vMerge/>
            <w:shd w:val="clear" w:color="auto" w:fill="auto"/>
            <w:tcMar>
              <w:top w:w="0" w:type="dxa"/>
              <w:bottom w:w="0" w:type="dxa"/>
            </w:tcMar>
            <w:vAlign w:val="center"/>
          </w:tcPr>
          <w:p w14:paraId="4C403478" w14:textId="77777777" w:rsidR="00944CA2" w:rsidRPr="009F2044" w:rsidRDefault="00944CA2" w:rsidP="00FD7C5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91" w:type="pct"/>
            <w:vMerge/>
            <w:shd w:val="clear" w:color="auto" w:fill="auto"/>
            <w:tcMar>
              <w:top w:w="0" w:type="dxa"/>
              <w:bottom w:w="0" w:type="dxa"/>
            </w:tcMar>
            <w:vAlign w:val="center"/>
          </w:tcPr>
          <w:p w14:paraId="5629B742" w14:textId="77777777" w:rsidR="00944CA2" w:rsidRPr="009F2044" w:rsidRDefault="00944CA2" w:rsidP="00FD7C5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10" w:type="pct"/>
            <w:shd w:val="clear" w:color="auto" w:fill="auto"/>
            <w:tcMar>
              <w:top w:w="0" w:type="dxa"/>
              <w:bottom w:w="0" w:type="dxa"/>
            </w:tcMar>
            <w:vAlign w:val="center"/>
          </w:tcPr>
          <w:p w14:paraId="19684CC0" w14:textId="2DB8E739"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w:t>
            </w:r>
            <w:r w:rsidR="00897AA2">
              <w:rPr>
                <w:rFonts w:ascii="Arial" w:hAnsi="Arial"/>
                <w:color w:val="010000"/>
                <w:sz w:val="20"/>
              </w:rPr>
              <w:t>ment date</w:t>
            </w:r>
          </w:p>
        </w:tc>
        <w:tc>
          <w:tcPr>
            <w:tcW w:w="858" w:type="pct"/>
            <w:shd w:val="clear" w:color="auto" w:fill="auto"/>
            <w:tcMar>
              <w:top w:w="0" w:type="dxa"/>
              <w:bottom w:w="0" w:type="dxa"/>
            </w:tcMar>
            <w:vAlign w:val="center"/>
          </w:tcPr>
          <w:p w14:paraId="51551932" w14:textId="6EE2FE6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Dismissal </w:t>
            </w:r>
            <w:r w:rsidR="00897AA2">
              <w:rPr>
                <w:rFonts w:ascii="Arial" w:hAnsi="Arial"/>
                <w:color w:val="010000"/>
                <w:sz w:val="20"/>
              </w:rPr>
              <w:t>date</w:t>
            </w:r>
          </w:p>
        </w:tc>
      </w:tr>
      <w:tr w:rsidR="00944CA2" w:rsidRPr="009F2044" w14:paraId="38B69E17" w14:textId="77777777" w:rsidTr="009F2044">
        <w:trPr>
          <w:cantSplit/>
        </w:trPr>
        <w:tc>
          <w:tcPr>
            <w:tcW w:w="329" w:type="pct"/>
            <w:shd w:val="clear" w:color="auto" w:fill="auto"/>
            <w:tcMar>
              <w:top w:w="0" w:type="dxa"/>
              <w:bottom w:w="0" w:type="dxa"/>
            </w:tcMar>
            <w:vAlign w:val="center"/>
          </w:tcPr>
          <w:p w14:paraId="4F27F59E"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1313" w:type="pct"/>
            <w:shd w:val="clear" w:color="auto" w:fill="auto"/>
            <w:tcMar>
              <w:top w:w="0" w:type="dxa"/>
              <w:bottom w:w="0" w:type="dxa"/>
            </w:tcMar>
            <w:vAlign w:val="center"/>
          </w:tcPr>
          <w:p w14:paraId="4B06907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Le Minh Hai</w:t>
            </w:r>
          </w:p>
        </w:tc>
        <w:tc>
          <w:tcPr>
            <w:tcW w:w="1391" w:type="pct"/>
            <w:shd w:val="clear" w:color="auto" w:fill="auto"/>
            <w:tcMar>
              <w:top w:w="0" w:type="dxa"/>
              <w:bottom w:w="0" w:type="dxa"/>
            </w:tcMar>
            <w:vAlign w:val="center"/>
          </w:tcPr>
          <w:p w14:paraId="55E18F9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110" w:type="pct"/>
            <w:shd w:val="clear" w:color="auto" w:fill="auto"/>
            <w:tcMar>
              <w:top w:w="0" w:type="dxa"/>
              <w:bottom w:w="0" w:type="dxa"/>
            </w:tcMar>
            <w:vAlign w:val="center"/>
          </w:tcPr>
          <w:p w14:paraId="494F0DBE"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858" w:type="pct"/>
            <w:shd w:val="clear" w:color="auto" w:fill="auto"/>
            <w:tcMar>
              <w:top w:w="0" w:type="dxa"/>
              <w:bottom w:w="0" w:type="dxa"/>
            </w:tcMar>
            <w:vAlign w:val="center"/>
          </w:tcPr>
          <w:p w14:paraId="78CF0318" w14:textId="77777777" w:rsidR="00944CA2" w:rsidRPr="009F2044" w:rsidRDefault="00944CA2" w:rsidP="00FD7C55">
            <w:pPr>
              <w:tabs>
                <w:tab w:val="left" w:pos="432"/>
              </w:tabs>
              <w:spacing w:after="120" w:line="360" w:lineRule="auto"/>
              <w:jc w:val="both"/>
              <w:rPr>
                <w:rFonts w:ascii="Arial" w:eastAsia="Arial" w:hAnsi="Arial" w:cs="Arial"/>
                <w:color w:val="010000"/>
                <w:sz w:val="20"/>
                <w:szCs w:val="20"/>
              </w:rPr>
            </w:pPr>
          </w:p>
        </w:tc>
      </w:tr>
      <w:tr w:rsidR="00944CA2" w:rsidRPr="009F2044" w14:paraId="7551946F" w14:textId="77777777" w:rsidTr="009F2044">
        <w:trPr>
          <w:cantSplit/>
        </w:trPr>
        <w:tc>
          <w:tcPr>
            <w:tcW w:w="329" w:type="pct"/>
            <w:shd w:val="clear" w:color="auto" w:fill="auto"/>
            <w:tcMar>
              <w:top w:w="0" w:type="dxa"/>
              <w:bottom w:w="0" w:type="dxa"/>
            </w:tcMar>
            <w:vAlign w:val="center"/>
          </w:tcPr>
          <w:p w14:paraId="50DBA14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313" w:type="pct"/>
            <w:shd w:val="clear" w:color="auto" w:fill="auto"/>
            <w:tcMar>
              <w:top w:w="0" w:type="dxa"/>
              <w:bottom w:w="0" w:type="dxa"/>
            </w:tcMar>
            <w:vAlign w:val="center"/>
          </w:tcPr>
          <w:p w14:paraId="14C6571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The</w:t>
            </w:r>
          </w:p>
        </w:tc>
        <w:tc>
          <w:tcPr>
            <w:tcW w:w="1391" w:type="pct"/>
            <w:shd w:val="clear" w:color="auto" w:fill="auto"/>
            <w:tcMar>
              <w:top w:w="0" w:type="dxa"/>
              <w:bottom w:w="0" w:type="dxa"/>
            </w:tcMar>
            <w:vAlign w:val="center"/>
          </w:tcPr>
          <w:p w14:paraId="1806E4D8"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Executive member of the Board of Directors</w:t>
            </w:r>
          </w:p>
        </w:tc>
        <w:tc>
          <w:tcPr>
            <w:tcW w:w="1110" w:type="pct"/>
            <w:shd w:val="clear" w:color="auto" w:fill="auto"/>
            <w:tcMar>
              <w:top w:w="0" w:type="dxa"/>
              <w:bottom w:w="0" w:type="dxa"/>
            </w:tcMar>
            <w:vAlign w:val="center"/>
          </w:tcPr>
          <w:p w14:paraId="5B85F8C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858" w:type="pct"/>
            <w:shd w:val="clear" w:color="auto" w:fill="auto"/>
            <w:tcMar>
              <w:top w:w="0" w:type="dxa"/>
              <w:bottom w:w="0" w:type="dxa"/>
            </w:tcMar>
            <w:vAlign w:val="center"/>
          </w:tcPr>
          <w:p w14:paraId="3DA4C620" w14:textId="77777777" w:rsidR="00944CA2" w:rsidRPr="009F2044" w:rsidRDefault="00944CA2" w:rsidP="00FD7C55">
            <w:pPr>
              <w:tabs>
                <w:tab w:val="left" w:pos="432"/>
              </w:tabs>
              <w:spacing w:after="120" w:line="360" w:lineRule="auto"/>
              <w:jc w:val="both"/>
              <w:rPr>
                <w:rFonts w:ascii="Arial" w:eastAsia="Arial" w:hAnsi="Arial" w:cs="Arial"/>
                <w:color w:val="010000"/>
                <w:sz w:val="20"/>
                <w:szCs w:val="20"/>
              </w:rPr>
            </w:pPr>
          </w:p>
        </w:tc>
      </w:tr>
      <w:tr w:rsidR="00944CA2" w:rsidRPr="009F2044" w14:paraId="201CB83F" w14:textId="77777777" w:rsidTr="009F2044">
        <w:trPr>
          <w:cantSplit/>
        </w:trPr>
        <w:tc>
          <w:tcPr>
            <w:tcW w:w="329" w:type="pct"/>
            <w:shd w:val="clear" w:color="auto" w:fill="auto"/>
            <w:tcMar>
              <w:top w:w="0" w:type="dxa"/>
              <w:bottom w:w="0" w:type="dxa"/>
            </w:tcMar>
            <w:vAlign w:val="center"/>
          </w:tcPr>
          <w:p w14:paraId="55B86C38"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313" w:type="pct"/>
            <w:shd w:val="clear" w:color="auto" w:fill="auto"/>
            <w:tcMar>
              <w:top w:w="0" w:type="dxa"/>
              <w:bottom w:w="0" w:type="dxa"/>
            </w:tcMar>
            <w:vAlign w:val="center"/>
          </w:tcPr>
          <w:p w14:paraId="1F1C90F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Nhi</w:t>
            </w:r>
            <w:proofErr w:type="spellEnd"/>
          </w:p>
        </w:tc>
        <w:tc>
          <w:tcPr>
            <w:tcW w:w="1391" w:type="pct"/>
            <w:shd w:val="clear" w:color="auto" w:fill="auto"/>
            <w:tcMar>
              <w:top w:w="0" w:type="dxa"/>
              <w:bottom w:w="0" w:type="dxa"/>
            </w:tcMar>
            <w:vAlign w:val="center"/>
          </w:tcPr>
          <w:p w14:paraId="25F2076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Executive member of the Board of Directors</w:t>
            </w:r>
          </w:p>
        </w:tc>
        <w:tc>
          <w:tcPr>
            <w:tcW w:w="1110" w:type="pct"/>
            <w:shd w:val="clear" w:color="auto" w:fill="auto"/>
            <w:tcMar>
              <w:top w:w="0" w:type="dxa"/>
              <w:bottom w:w="0" w:type="dxa"/>
            </w:tcMar>
            <w:vAlign w:val="center"/>
          </w:tcPr>
          <w:p w14:paraId="5113ED8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858" w:type="pct"/>
            <w:shd w:val="clear" w:color="auto" w:fill="auto"/>
            <w:tcMar>
              <w:top w:w="0" w:type="dxa"/>
              <w:bottom w:w="0" w:type="dxa"/>
            </w:tcMar>
            <w:vAlign w:val="center"/>
          </w:tcPr>
          <w:p w14:paraId="048C942A" w14:textId="77777777" w:rsidR="00944CA2" w:rsidRPr="009F2044" w:rsidRDefault="00944CA2" w:rsidP="00FD7C55">
            <w:pPr>
              <w:tabs>
                <w:tab w:val="left" w:pos="432"/>
              </w:tabs>
              <w:spacing w:after="120" w:line="360" w:lineRule="auto"/>
              <w:jc w:val="both"/>
              <w:rPr>
                <w:rFonts w:ascii="Arial" w:eastAsia="Arial" w:hAnsi="Arial" w:cs="Arial"/>
                <w:color w:val="010000"/>
                <w:sz w:val="20"/>
                <w:szCs w:val="20"/>
              </w:rPr>
            </w:pPr>
          </w:p>
        </w:tc>
      </w:tr>
      <w:tr w:rsidR="00944CA2" w:rsidRPr="009F2044" w14:paraId="593096DA" w14:textId="77777777" w:rsidTr="009F2044">
        <w:trPr>
          <w:cantSplit/>
        </w:trPr>
        <w:tc>
          <w:tcPr>
            <w:tcW w:w="329" w:type="pct"/>
            <w:shd w:val="clear" w:color="auto" w:fill="auto"/>
            <w:tcMar>
              <w:top w:w="0" w:type="dxa"/>
              <w:bottom w:w="0" w:type="dxa"/>
            </w:tcMar>
            <w:vAlign w:val="center"/>
          </w:tcPr>
          <w:p w14:paraId="08D50A1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1313" w:type="pct"/>
            <w:shd w:val="clear" w:color="auto" w:fill="auto"/>
            <w:tcMar>
              <w:top w:w="0" w:type="dxa"/>
              <w:bottom w:w="0" w:type="dxa"/>
            </w:tcMar>
            <w:vAlign w:val="center"/>
          </w:tcPr>
          <w:p w14:paraId="6FF055C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391" w:type="pct"/>
            <w:shd w:val="clear" w:color="auto" w:fill="auto"/>
            <w:tcMar>
              <w:top w:w="0" w:type="dxa"/>
              <w:bottom w:w="0" w:type="dxa"/>
            </w:tcMar>
            <w:vAlign w:val="center"/>
          </w:tcPr>
          <w:p w14:paraId="72180CE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10" w:type="pct"/>
            <w:shd w:val="clear" w:color="auto" w:fill="auto"/>
            <w:tcMar>
              <w:top w:w="0" w:type="dxa"/>
              <w:bottom w:w="0" w:type="dxa"/>
            </w:tcMar>
            <w:vAlign w:val="center"/>
          </w:tcPr>
          <w:p w14:paraId="1FB3268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858" w:type="pct"/>
            <w:shd w:val="clear" w:color="auto" w:fill="auto"/>
            <w:tcMar>
              <w:top w:w="0" w:type="dxa"/>
              <w:bottom w:w="0" w:type="dxa"/>
            </w:tcMar>
            <w:vAlign w:val="center"/>
          </w:tcPr>
          <w:p w14:paraId="36D9B63A" w14:textId="77777777" w:rsidR="00944CA2" w:rsidRPr="009F2044" w:rsidRDefault="00944CA2" w:rsidP="00FD7C55">
            <w:pPr>
              <w:tabs>
                <w:tab w:val="left" w:pos="432"/>
              </w:tabs>
              <w:spacing w:after="120" w:line="360" w:lineRule="auto"/>
              <w:jc w:val="both"/>
              <w:rPr>
                <w:rFonts w:ascii="Arial" w:eastAsia="Arial" w:hAnsi="Arial" w:cs="Arial"/>
                <w:color w:val="010000"/>
                <w:sz w:val="20"/>
                <w:szCs w:val="20"/>
              </w:rPr>
            </w:pPr>
          </w:p>
        </w:tc>
      </w:tr>
      <w:tr w:rsidR="00944CA2" w:rsidRPr="009F2044" w14:paraId="7954F1C6" w14:textId="77777777" w:rsidTr="009F2044">
        <w:trPr>
          <w:cantSplit/>
        </w:trPr>
        <w:tc>
          <w:tcPr>
            <w:tcW w:w="329" w:type="pct"/>
            <w:shd w:val="clear" w:color="auto" w:fill="auto"/>
            <w:tcMar>
              <w:top w:w="0" w:type="dxa"/>
              <w:bottom w:w="0" w:type="dxa"/>
            </w:tcMar>
            <w:vAlign w:val="center"/>
          </w:tcPr>
          <w:p w14:paraId="3818037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1313" w:type="pct"/>
            <w:shd w:val="clear" w:color="auto" w:fill="auto"/>
            <w:tcMar>
              <w:top w:w="0" w:type="dxa"/>
              <w:bottom w:w="0" w:type="dxa"/>
            </w:tcMar>
            <w:vAlign w:val="center"/>
          </w:tcPr>
          <w:p w14:paraId="0C4A812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Dac</w:t>
            </w:r>
            <w:proofErr w:type="spellEnd"/>
          </w:p>
        </w:tc>
        <w:tc>
          <w:tcPr>
            <w:tcW w:w="1391" w:type="pct"/>
            <w:shd w:val="clear" w:color="auto" w:fill="auto"/>
            <w:tcMar>
              <w:top w:w="0" w:type="dxa"/>
              <w:bottom w:w="0" w:type="dxa"/>
            </w:tcMar>
            <w:vAlign w:val="center"/>
          </w:tcPr>
          <w:p w14:paraId="214A0F4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Independent member of the Board of Directors</w:t>
            </w:r>
          </w:p>
        </w:tc>
        <w:tc>
          <w:tcPr>
            <w:tcW w:w="1110" w:type="pct"/>
            <w:shd w:val="clear" w:color="auto" w:fill="auto"/>
            <w:tcMar>
              <w:top w:w="0" w:type="dxa"/>
              <w:bottom w:w="0" w:type="dxa"/>
            </w:tcMar>
            <w:vAlign w:val="center"/>
          </w:tcPr>
          <w:p w14:paraId="313933FE"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858" w:type="pct"/>
            <w:shd w:val="clear" w:color="auto" w:fill="auto"/>
            <w:tcMar>
              <w:top w:w="0" w:type="dxa"/>
              <w:bottom w:w="0" w:type="dxa"/>
            </w:tcMar>
            <w:vAlign w:val="center"/>
          </w:tcPr>
          <w:p w14:paraId="7A8C7442" w14:textId="77777777" w:rsidR="00944CA2" w:rsidRPr="009F2044" w:rsidRDefault="00944CA2" w:rsidP="00FD7C55">
            <w:pPr>
              <w:tabs>
                <w:tab w:val="left" w:pos="432"/>
              </w:tabs>
              <w:spacing w:after="120" w:line="360" w:lineRule="auto"/>
              <w:jc w:val="both"/>
              <w:rPr>
                <w:rFonts w:ascii="Arial" w:eastAsia="Arial" w:hAnsi="Arial" w:cs="Arial"/>
                <w:color w:val="010000"/>
                <w:sz w:val="20"/>
                <w:szCs w:val="20"/>
              </w:rPr>
            </w:pPr>
          </w:p>
        </w:tc>
      </w:tr>
      <w:tr w:rsidR="00944CA2" w:rsidRPr="009F2044" w14:paraId="49109DED" w14:textId="77777777" w:rsidTr="009F2044">
        <w:trPr>
          <w:cantSplit/>
        </w:trPr>
        <w:tc>
          <w:tcPr>
            <w:tcW w:w="329" w:type="pct"/>
            <w:shd w:val="clear" w:color="auto" w:fill="auto"/>
            <w:tcMar>
              <w:top w:w="0" w:type="dxa"/>
              <w:bottom w:w="0" w:type="dxa"/>
            </w:tcMar>
            <w:vAlign w:val="center"/>
          </w:tcPr>
          <w:p w14:paraId="4ACC250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1313" w:type="pct"/>
            <w:shd w:val="clear" w:color="auto" w:fill="auto"/>
            <w:tcMar>
              <w:top w:w="0" w:type="dxa"/>
              <w:bottom w:w="0" w:type="dxa"/>
            </w:tcMar>
            <w:vAlign w:val="center"/>
          </w:tcPr>
          <w:p w14:paraId="14B641C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Bui Van </w:t>
            </w:r>
            <w:proofErr w:type="spellStart"/>
            <w:r>
              <w:rPr>
                <w:rFonts w:ascii="Arial" w:hAnsi="Arial"/>
                <w:color w:val="010000"/>
                <w:sz w:val="20"/>
              </w:rPr>
              <w:t>Hieu</w:t>
            </w:r>
            <w:proofErr w:type="spellEnd"/>
          </w:p>
        </w:tc>
        <w:tc>
          <w:tcPr>
            <w:tcW w:w="1391" w:type="pct"/>
            <w:shd w:val="clear" w:color="auto" w:fill="auto"/>
            <w:tcMar>
              <w:top w:w="0" w:type="dxa"/>
              <w:bottom w:w="0" w:type="dxa"/>
            </w:tcMar>
            <w:vAlign w:val="center"/>
          </w:tcPr>
          <w:p w14:paraId="2F0587BE"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Independent member of the Board of Directors</w:t>
            </w:r>
          </w:p>
        </w:tc>
        <w:tc>
          <w:tcPr>
            <w:tcW w:w="1110" w:type="pct"/>
            <w:shd w:val="clear" w:color="auto" w:fill="auto"/>
            <w:tcMar>
              <w:top w:w="0" w:type="dxa"/>
              <w:bottom w:w="0" w:type="dxa"/>
            </w:tcMar>
            <w:vAlign w:val="center"/>
          </w:tcPr>
          <w:p w14:paraId="02355CD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858" w:type="pct"/>
            <w:shd w:val="clear" w:color="auto" w:fill="auto"/>
            <w:tcMar>
              <w:top w:w="0" w:type="dxa"/>
              <w:bottom w:w="0" w:type="dxa"/>
            </w:tcMar>
            <w:vAlign w:val="center"/>
          </w:tcPr>
          <w:p w14:paraId="54367AC4" w14:textId="77777777" w:rsidR="00944CA2" w:rsidRPr="009F2044" w:rsidRDefault="00944CA2" w:rsidP="00FD7C55">
            <w:pPr>
              <w:tabs>
                <w:tab w:val="left" w:pos="432"/>
              </w:tabs>
              <w:spacing w:after="120" w:line="360" w:lineRule="auto"/>
              <w:jc w:val="both"/>
              <w:rPr>
                <w:rFonts w:ascii="Arial" w:eastAsia="Arial" w:hAnsi="Arial" w:cs="Arial"/>
                <w:color w:val="010000"/>
                <w:sz w:val="20"/>
                <w:szCs w:val="20"/>
              </w:rPr>
            </w:pPr>
          </w:p>
        </w:tc>
      </w:tr>
    </w:tbl>
    <w:p w14:paraId="1D876D15" w14:textId="77777777" w:rsidR="00944CA2" w:rsidRPr="009F2044" w:rsidRDefault="00726AEF" w:rsidP="00FD7C55">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7"/>
        <w:gridCol w:w="1497"/>
        <w:gridCol w:w="1537"/>
        <w:gridCol w:w="5058"/>
      </w:tblGrid>
      <w:tr w:rsidR="00944CA2" w:rsidRPr="009F2044" w14:paraId="2976596A" w14:textId="77777777" w:rsidTr="009F2044">
        <w:trPr>
          <w:cantSplit/>
        </w:trPr>
        <w:tc>
          <w:tcPr>
            <w:tcW w:w="514" w:type="pct"/>
            <w:shd w:val="clear" w:color="auto" w:fill="auto"/>
            <w:tcMar>
              <w:top w:w="0" w:type="dxa"/>
              <w:bottom w:w="0" w:type="dxa"/>
            </w:tcMar>
            <w:vAlign w:val="center"/>
          </w:tcPr>
          <w:p w14:paraId="6F708C4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830" w:type="pct"/>
            <w:shd w:val="clear" w:color="auto" w:fill="auto"/>
            <w:tcMar>
              <w:top w:w="0" w:type="dxa"/>
              <w:bottom w:w="0" w:type="dxa"/>
            </w:tcMar>
            <w:vAlign w:val="center"/>
          </w:tcPr>
          <w:p w14:paraId="4BC17A58" w14:textId="68943E43" w:rsidR="00944CA2" w:rsidRPr="009F2044" w:rsidRDefault="00897AA2"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Board Resolution</w:t>
            </w:r>
            <w:r w:rsidR="00726AEF">
              <w:rPr>
                <w:rFonts w:ascii="Arial" w:hAnsi="Arial"/>
                <w:color w:val="010000"/>
                <w:sz w:val="20"/>
              </w:rPr>
              <w:t xml:space="preserve"> No.</w:t>
            </w:r>
          </w:p>
        </w:tc>
        <w:tc>
          <w:tcPr>
            <w:tcW w:w="852" w:type="pct"/>
            <w:shd w:val="clear" w:color="auto" w:fill="auto"/>
            <w:tcMar>
              <w:top w:w="0" w:type="dxa"/>
              <w:bottom w:w="0" w:type="dxa"/>
            </w:tcMar>
            <w:vAlign w:val="center"/>
          </w:tcPr>
          <w:p w14:paraId="587F6EF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w:t>
            </w:r>
          </w:p>
        </w:tc>
        <w:tc>
          <w:tcPr>
            <w:tcW w:w="2804" w:type="pct"/>
            <w:shd w:val="clear" w:color="auto" w:fill="auto"/>
            <w:tcMar>
              <w:top w:w="0" w:type="dxa"/>
              <w:bottom w:w="0" w:type="dxa"/>
            </w:tcMar>
            <w:vAlign w:val="center"/>
          </w:tcPr>
          <w:p w14:paraId="2BD1C4C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Contents</w:t>
            </w:r>
          </w:p>
        </w:tc>
      </w:tr>
      <w:tr w:rsidR="00944CA2" w:rsidRPr="009F2044" w14:paraId="07E482B4" w14:textId="77777777" w:rsidTr="009F2044">
        <w:trPr>
          <w:cantSplit/>
        </w:trPr>
        <w:tc>
          <w:tcPr>
            <w:tcW w:w="514" w:type="pct"/>
            <w:shd w:val="clear" w:color="auto" w:fill="auto"/>
            <w:tcMar>
              <w:top w:w="0" w:type="dxa"/>
              <w:bottom w:w="0" w:type="dxa"/>
            </w:tcMar>
            <w:vAlign w:val="center"/>
          </w:tcPr>
          <w:p w14:paraId="3C50F28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830" w:type="pct"/>
            <w:shd w:val="clear" w:color="auto" w:fill="auto"/>
            <w:tcMar>
              <w:top w:w="0" w:type="dxa"/>
              <w:bottom w:w="0" w:type="dxa"/>
            </w:tcMar>
            <w:vAlign w:val="center"/>
          </w:tcPr>
          <w:p w14:paraId="0875EA2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01/2023-NQ-HDQT</w:t>
            </w:r>
          </w:p>
        </w:tc>
        <w:tc>
          <w:tcPr>
            <w:tcW w:w="852" w:type="pct"/>
            <w:shd w:val="clear" w:color="auto" w:fill="auto"/>
            <w:tcMar>
              <w:top w:w="0" w:type="dxa"/>
              <w:bottom w:w="0" w:type="dxa"/>
            </w:tcMar>
            <w:vAlign w:val="center"/>
          </w:tcPr>
          <w:p w14:paraId="2EA4DFB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February 10, 2023</w:t>
            </w:r>
          </w:p>
        </w:tc>
        <w:tc>
          <w:tcPr>
            <w:tcW w:w="2804" w:type="pct"/>
            <w:shd w:val="clear" w:color="auto" w:fill="auto"/>
            <w:tcMar>
              <w:top w:w="0" w:type="dxa"/>
              <w:bottom w:w="0" w:type="dxa"/>
            </w:tcMar>
            <w:vAlign w:val="center"/>
          </w:tcPr>
          <w:p w14:paraId="0626570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use of profit after tax from 2023-2026 to in invest in the Viet Duc Legend City Urban Area Project in Dao Duc Town,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District,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w:t>
            </w:r>
          </w:p>
        </w:tc>
      </w:tr>
      <w:tr w:rsidR="00944CA2" w:rsidRPr="009F2044" w14:paraId="44B25DBD" w14:textId="77777777" w:rsidTr="009F2044">
        <w:trPr>
          <w:cantSplit/>
        </w:trPr>
        <w:tc>
          <w:tcPr>
            <w:tcW w:w="514" w:type="pct"/>
            <w:shd w:val="clear" w:color="auto" w:fill="auto"/>
            <w:tcMar>
              <w:top w:w="0" w:type="dxa"/>
              <w:bottom w:w="0" w:type="dxa"/>
            </w:tcMar>
            <w:vAlign w:val="center"/>
          </w:tcPr>
          <w:p w14:paraId="6476F5D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830" w:type="pct"/>
            <w:shd w:val="clear" w:color="auto" w:fill="auto"/>
            <w:tcMar>
              <w:top w:w="0" w:type="dxa"/>
              <w:bottom w:w="0" w:type="dxa"/>
            </w:tcMar>
            <w:vAlign w:val="center"/>
          </w:tcPr>
          <w:p w14:paraId="42C28A7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02/2023-NQ-HDQT</w:t>
            </w:r>
          </w:p>
        </w:tc>
        <w:tc>
          <w:tcPr>
            <w:tcW w:w="852" w:type="pct"/>
            <w:shd w:val="clear" w:color="auto" w:fill="auto"/>
            <w:tcMar>
              <w:top w:w="0" w:type="dxa"/>
              <w:bottom w:w="0" w:type="dxa"/>
            </w:tcMar>
            <w:vAlign w:val="center"/>
          </w:tcPr>
          <w:p w14:paraId="3C46715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February 10, 2023</w:t>
            </w:r>
          </w:p>
        </w:tc>
        <w:tc>
          <w:tcPr>
            <w:tcW w:w="2804" w:type="pct"/>
            <w:shd w:val="clear" w:color="auto" w:fill="auto"/>
            <w:tcMar>
              <w:top w:w="0" w:type="dxa"/>
              <w:bottom w:w="0" w:type="dxa"/>
            </w:tcMar>
            <w:vAlign w:val="center"/>
          </w:tcPr>
          <w:p w14:paraId="7575D67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adjustment of Viet Duc Legend City Urban Area Project in Dao Duc Town,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District,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 Project scale; Capital for project implementation; Project implementation schedule.</w:t>
            </w:r>
          </w:p>
        </w:tc>
      </w:tr>
      <w:tr w:rsidR="00944CA2" w:rsidRPr="009F2044" w14:paraId="5FA37586" w14:textId="77777777" w:rsidTr="009F2044">
        <w:trPr>
          <w:cantSplit/>
        </w:trPr>
        <w:tc>
          <w:tcPr>
            <w:tcW w:w="514" w:type="pct"/>
            <w:shd w:val="clear" w:color="auto" w:fill="auto"/>
            <w:tcMar>
              <w:top w:w="0" w:type="dxa"/>
              <w:bottom w:w="0" w:type="dxa"/>
            </w:tcMar>
            <w:vAlign w:val="center"/>
          </w:tcPr>
          <w:p w14:paraId="09C2FDE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830" w:type="pct"/>
            <w:shd w:val="clear" w:color="auto" w:fill="auto"/>
            <w:tcMar>
              <w:top w:w="0" w:type="dxa"/>
              <w:bottom w:w="0" w:type="dxa"/>
            </w:tcMar>
            <w:vAlign w:val="center"/>
          </w:tcPr>
          <w:p w14:paraId="1892F2B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03/2023-NQ-HDQT</w:t>
            </w:r>
          </w:p>
        </w:tc>
        <w:tc>
          <w:tcPr>
            <w:tcW w:w="852" w:type="pct"/>
            <w:shd w:val="clear" w:color="auto" w:fill="auto"/>
            <w:tcMar>
              <w:top w:w="0" w:type="dxa"/>
              <w:bottom w:w="0" w:type="dxa"/>
            </w:tcMar>
            <w:vAlign w:val="center"/>
          </w:tcPr>
          <w:p w14:paraId="5875222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23, 2022</w:t>
            </w:r>
          </w:p>
        </w:tc>
        <w:tc>
          <w:tcPr>
            <w:tcW w:w="2804" w:type="pct"/>
            <w:shd w:val="clear" w:color="auto" w:fill="auto"/>
            <w:tcMar>
              <w:top w:w="0" w:type="dxa"/>
              <w:bottom w:w="0" w:type="dxa"/>
            </w:tcMar>
            <w:vAlign w:val="center"/>
          </w:tcPr>
          <w:p w14:paraId="20AB1DD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working capital loans for the Company in 2023 - 2024 at Vietnam International Commercial Joint Stock Bank - Ly </w:t>
            </w:r>
            <w:proofErr w:type="spellStart"/>
            <w:r>
              <w:rPr>
                <w:rFonts w:ascii="Arial" w:hAnsi="Arial"/>
                <w:color w:val="010000"/>
                <w:sz w:val="20"/>
              </w:rPr>
              <w:t>Thuong</w:t>
            </w:r>
            <w:proofErr w:type="spellEnd"/>
            <w:r>
              <w:rPr>
                <w:rFonts w:ascii="Arial" w:hAnsi="Arial"/>
                <w:color w:val="010000"/>
                <w:sz w:val="20"/>
              </w:rPr>
              <w:t xml:space="preserve"> </w:t>
            </w:r>
            <w:proofErr w:type="spellStart"/>
            <w:r>
              <w:rPr>
                <w:rFonts w:ascii="Arial" w:hAnsi="Arial"/>
                <w:color w:val="010000"/>
                <w:sz w:val="20"/>
              </w:rPr>
              <w:t>Kiet</w:t>
            </w:r>
            <w:proofErr w:type="spellEnd"/>
            <w:r>
              <w:rPr>
                <w:rFonts w:ascii="Arial" w:hAnsi="Arial"/>
                <w:color w:val="010000"/>
                <w:sz w:val="20"/>
              </w:rPr>
              <w:t xml:space="preserve"> Branch, Hanoi.</w:t>
            </w:r>
          </w:p>
        </w:tc>
      </w:tr>
      <w:tr w:rsidR="00944CA2" w:rsidRPr="009F2044" w14:paraId="10BDA96D" w14:textId="77777777" w:rsidTr="009F2044">
        <w:trPr>
          <w:cantSplit/>
        </w:trPr>
        <w:tc>
          <w:tcPr>
            <w:tcW w:w="514" w:type="pct"/>
            <w:shd w:val="clear" w:color="auto" w:fill="auto"/>
            <w:tcMar>
              <w:top w:w="0" w:type="dxa"/>
              <w:bottom w:w="0" w:type="dxa"/>
            </w:tcMar>
            <w:vAlign w:val="center"/>
          </w:tcPr>
          <w:p w14:paraId="1CE0820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830" w:type="pct"/>
            <w:shd w:val="clear" w:color="auto" w:fill="auto"/>
            <w:tcMar>
              <w:top w:w="0" w:type="dxa"/>
              <w:bottom w:w="0" w:type="dxa"/>
            </w:tcMar>
            <w:vAlign w:val="center"/>
          </w:tcPr>
          <w:p w14:paraId="6BE9130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04/2023-NQ-HDQT</w:t>
            </w:r>
          </w:p>
        </w:tc>
        <w:tc>
          <w:tcPr>
            <w:tcW w:w="852" w:type="pct"/>
            <w:shd w:val="clear" w:color="auto" w:fill="auto"/>
            <w:tcMar>
              <w:top w:w="0" w:type="dxa"/>
              <w:bottom w:w="0" w:type="dxa"/>
            </w:tcMar>
            <w:vAlign w:val="center"/>
          </w:tcPr>
          <w:p w14:paraId="678C784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10, 2023</w:t>
            </w:r>
          </w:p>
        </w:tc>
        <w:tc>
          <w:tcPr>
            <w:tcW w:w="2804" w:type="pct"/>
            <w:shd w:val="clear" w:color="auto" w:fill="auto"/>
            <w:tcMar>
              <w:top w:w="0" w:type="dxa"/>
              <w:bottom w:w="0" w:type="dxa"/>
            </w:tcMar>
            <w:vAlign w:val="center"/>
          </w:tcPr>
          <w:p w14:paraId="12EFB34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working capital loans for the Company in 2023 - 2024 at Joint Stock Commercial Bank for Investment and Development of Vietnam - </w:t>
            </w:r>
            <w:proofErr w:type="spellStart"/>
            <w:r>
              <w:rPr>
                <w:rFonts w:ascii="Arial" w:hAnsi="Arial"/>
                <w:color w:val="010000"/>
                <w:sz w:val="20"/>
              </w:rPr>
              <w:t>Phuc</w:t>
            </w:r>
            <w:proofErr w:type="spellEnd"/>
            <w:r>
              <w:rPr>
                <w:rFonts w:ascii="Arial" w:hAnsi="Arial"/>
                <w:color w:val="010000"/>
                <w:sz w:val="20"/>
              </w:rPr>
              <w:t xml:space="preserve"> Yen Branch.</w:t>
            </w:r>
          </w:p>
        </w:tc>
      </w:tr>
      <w:tr w:rsidR="00944CA2" w:rsidRPr="009F2044" w14:paraId="2E750A32" w14:textId="77777777" w:rsidTr="009F2044">
        <w:trPr>
          <w:cantSplit/>
        </w:trPr>
        <w:tc>
          <w:tcPr>
            <w:tcW w:w="514" w:type="pct"/>
            <w:shd w:val="clear" w:color="auto" w:fill="auto"/>
            <w:tcMar>
              <w:top w:w="0" w:type="dxa"/>
              <w:bottom w:w="0" w:type="dxa"/>
            </w:tcMar>
            <w:vAlign w:val="center"/>
          </w:tcPr>
          <w:p w14:paraId="57196D0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830" w:type="pct"/>
            <w:shd w:val="clear" w:color="auto" w:fill="auto"/>
            <w:tcMar>
              <w:top w:w="0" w:type="dxa"/>
              <w:bottom w:w="0" w:type="dxa"/>
            </w:tcMar>
            <w:vAlign w:val="center"/>
          </w:tcPr>
          <w:p w14:paraId="0578626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05/2023-NQ-HDQT</w:t>
            </w:r>
          </w:p>
        </w:tc>
        <w:tc>
          <w:tcPr>
            <w:tcW w:w="852" w:type="pct"/>
            <w:shd w:val="clear" w:color="auto" w:fill="auto"/>
            <w:tcMar>
              <w:top w:w="0" w:type="dxa"/>
              <w:bottom w:w="0" w:type="dxa"/>
            </w:tcMar>
            <w:vAlign w:val="center"/>
          </w:tcPr>
          <w:p w14:paraId="7663365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31, 2023</w:t>
            </w:r>
          </w:p>
        </w:tc>
        <w:tc>
          <w:tcPr>
            <w:tcW w:w="2804" w:type="pct"/>
            <w:shd w:val="clear" w:color="auto" w:fill="auto"/>
            <w:tcMar>
              <w:top w:w="0" w:type="dxa"/>
              <w:bottom w:w="0" w:type="dxa"/>
            </w:tcMar>
            <w:vAlign w:val="center"/>
          </w:tcPr>
          <w:p w14:paraId="5727D72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implementation of the share issuance plan for dividend payment to shareholders and Approve the handling plan for the fractional shares (if any) </w:t>
            </w:r>
          </w:p>
        </w:tc>
      </w:tr>
      <w:tr w:rsidR="00944CA2" w:rsidRPr="009F2044" w14:paraId="6DBCB31C" w14:textId="77777777" w:rsidTr="009F2044">
        <w:trPr>
          <w:cantSplit/>
        </w:trPr>
        <w:tc>
          <w:tcPr>
            <w:tcW w:w="514" w:type="pct"/>
            <w:shd w:val="clear" w:color="auto" w:fill="auto"/>
            <w:tcMar>
              <w:top w:w="0" w:type="dxa"/>
              <w:bottom w:w="0" w:type="dxa"/>
            </w:tcMar>
            <w:vAlign w:val="center"/>
          </w:tcPr>
          <w:p w14:paraId="5B14E7A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830" w:type="pct"/>
            <w:shd w:val="clear" w:color="auto" w:fill="auto"/>
            <w:tcMar>
              <w:top w:w="0" w:type="dxa"/>
              <w:bottom w:w="0" w:type="dxa"/>
            </w:tcMar>
            <w:vAlign w:val="center"/>
          </w:tcPr>
          <w:p w14:paraId="4C0789B8"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06/2023-NQ-HDQT</w:t>
            </w:r>
          </w:p>
        </w:tc>
        <w:tc>
          <w:tcPr>
            <w:tcW w:w="852" w:type="pct"/>
            <w:shd w:val="clear" w:color="auto" w:fill="auto"/>
            <w:tcMar>
              <w:top w:w="0" w:type="dxa"/>
              <w:bottom w:w="0" w:type="dxa"/>
            </w:tcMar>
            <w:vAlign w:val="center"/>
          </w:tcPr>
          <w:p w14:paraId="583B3D7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October 10, 2023</w:t>
            </w:r>
          </w:p>
        </w:tc>
        <w:tc>
          <w:tcPr>
            <w:tcW w:w="2804" w:type="pct"/>
            <w:shd w:val="clear" w:color="auto" w:fill="auto"/>
            <w:tcMar>
              <w:top w:w="0" w:type="dxa"/>
              <w:bottom w:w="0" w:type="dxa"/>
            </w:tcMar>
            <w:vAlign w:val="center"/>
          </w:tcPr>
          <w:p w14:paraId="73B123F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working capital loans for the Company in 2023 - 2024 at Vietnam Joint Stock Commercial Bank For Industry And Trade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Branch</w:t>
            </w:r>
          </w:p>
        </w:tc>
      </w:tr>
    </w:tbl>
    <w:p w14:paraId="7B301C00" w14:textId="10EB9C94" w:rsidR="00944CA2" w:rsidRPr="009F2044" w:rsidRDefault="00D761AA" w:rsidP="00FD7C55">
      <w:pPr>
        <w:keepNext/>
        <w:numPr>
          <w:ilvl w:val="0"/>
          <w:numId w:val="4"/>
        </w:numPr>
        <w:pBdr>
          <w:top w:val="nil"/>
          <w:left w:val="nil"/>
          <w:bottom w:val="nil"/>
          <w:right w:val="nil"/>
          <w:between w:val="nil"/>
        </w:pBdr>
        <w:tabs>
          <w:tab w:val="left" w:pos="432"/>
          <w:tab w:val="left" w:pos="1187"/>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THE </w:t>
      </w:r>
      <w:r w:rsidR="00726AEF">
        <w:rPr>
          <w:rFonts w:ascii="Arial" w:hAnsi="Arial"/>
          <w:color w:val="010000"/>
          <w:sz w:val="20"/>
        </w:rPr>
        <w:t>SUPERVISORY BOARD</w:t>
      </w:r>
    </w:p>
    <w:p w14:paraId="7FAF1C50" w14:textId="77777777" w:rsidR="00944CA2" w:rsidRPr="009F2044" w:rsidRDefault="00726AEF" w:rsidP="00FD7C55">
      <w:pPr>
        <w:keepNext/>
        <w:numPr>
          <w:ilvl w:val="1"/>
          <w:numId w:val="6"/>
        </w:numPr>
        <w:pBdr>
          <w:top w:val="nil"/>
          <w:left w:val="nil"/>
          <w:bottom w:val="nil"/>
          <w:right w:val="nil"/>
          <w:between w:val="nil"/>
        </w:pBdr>
        <w:tabs>
          <w:tab w:val="left" w:pos="432"/>
          <w:tab w:val="left" w:pos="1187"/>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of members of the Supervisory Board:</w:t>
      </w:r>
    </w:p>
    <w:p w14:paraId="7BDE340D" w14:textId="08EB72BC"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 of the Company operates within the regulations of the Law and the Company’s Charter. The number of members of the Supervisory Board for the year is 3</w:t>
      </w:r>
      <w:r w:rsidR="008E0B17">
        <w:rPr>
          <w:rFonts w:ascii="Arial" w:hAnsi="Arial"/>
          <w:color w:val="010000"/>
          <w:sz w:val="20"/>
        </w:rPr>
        <w:t xml:space="preserve"> people</w:t>
      </w:r>
      <w:r>
        <w:rPr>
          <w:rFonts w:ascii="Arial" w:hAnsi="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4"/>
        <w:gridCol w:w="2455"/>
        <w:gridCol w:w="1706"/>
        <w:gridCol w:w="2152"/>
        <w:gridCol w:w="2132"/>
      </w:tblGrid>
      <w:tr w:rsidR="00944CA2" w:rsidRPr="009F2044" w14:paraId="71138067" w14:textId="77777777" w:rsidTr="009F2044">
        <w:trPr>
          <w:cantSplit/>
        </w:trPr>
        <w:tc>
          <w:tcPr>
            <w:tcW w:w="318" w:type="pct"/>
            <w:shd w:val="clear" w:color="auto" w:fill="auto"/>
            <w:tcMar>
              <w:top w:w="0" w:type="dxa"/>
              <w:bottom w:w="0" w:type="dxa"/>
            </w:tcMar>
            <w:vAlign w:val="center"/>
          </w:tcPr>
          <w:p w14:paraId="167FD4D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361" w:type="pct"/>
            <w:shd w:val="clear" w:color="auto" w:fill="auto"/>
            <w:tcMar>
              <w:top w:w="0" w:type="dxa"/>
              <w:bottom w:w="0" w:type="dxa"/>
            </w:tcMar>
            <w:vAlign w:val="center"/>
          </w:tcPr>
          <w:p w14:paraId="4114977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946" w:type="pct"/>
            <w:shd w:val="clear" w:color="auto" w:fill="auto"/>
            <w:tcMar>
              <w:top w:w="0" w:type="dxa"/>
              <w:bottom w:w="0" w:type="dxa"/>
            </w:tcMar>
            <w:vAlign w:val="center"/>
          </w:tcPr>
          <w:p w14:paraId="4E0390E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193" w:type="pct"/>
            <w:shd w:val="clear" w:color="auto" w:fill="auto"/>
            <w:tcMar>
              <w:top w:w="0" w:type="dxa"/>
              <w:bottom w:w="0" w:type="dxa"/>
            </w:tcMar>
            <w:vAlign w:val="center"/>
          </w:tcPr>
          <w:p w14:paraId="79DA3A7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appointment as member of the Supervisory Board.</w:t>
            </w:r>
          </w:p>
        </w:tc>
        <w:tc>
          <w:tcPr>
            <w:tcW w:w="1182" w:type="pct"/>
            <w:shd w:val="clear" w:color="auto" w:fill="auto"/>
            <w:tcMar>
              <w:top w:w="0" w:type="dxa"/>
              <w:bottom w:w="0" w:type="dxa"/>
            </w:tcMar>
            <w:vAlign w:val="center"/>
          </w:tcPr>
          <w:p w14:paraId="4400E30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944CA2" w:rsidRPr="009F2044" w14:paraId="2A7FAD56" w14:textId="77777777" w:rsidTr="009F2044">
        <w:trPr>
          <w:cantSplit/>
        </w:trPr>
        <w:tc>
          <w:tcPr>
            <w:tcW w:w="318" w:type="pct"/>
            <w:shd w:val="clear" w:color="auto" w:fill="auto"/>
            <w:tcMar>
              <w:top w:w="0" w:type="dxa"/>
              <w:bottom w:w="0" w:type="dxa"/>
            </w:tcMar>
            <w:vAlign w:val="center"/>
          </w:tcPr>
          <w:p w14:paraId="1431D3F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361" w:type="pct"/>
            <w:shd w:val="clear" w:color="auto" w:fill="auto"/>
            <w:tcMar>
              <w:top w:w="0" w:type="dxa"/>
              <w:bottom w:w="0" w:type="dxa"/>
            </w:tcMar>
            <w:vAlign w:val="center"/>
          </w:tcPr>
          <w:p w14:paraId="569DC84E"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Ngo Vi Anh </w:t>
            </w:r>
            <w:proofErr w:type="spellStart"/>
            <w:r>
              <w:rPr>
                <w:rFonts w:ascii="Arial" w:hAnsi="Arial"/>
                <w:color w:val="010000"/>
                <w:sz w:val="20"/>
              </w:rPr>
              <w:t>Tu</w:t>
            </w:r>
            <w:proofErr w:type="spellEnd"/>
          </w:p>
        </w:tc>
        <w:tc>
          <w:tcPr>
            <w:tcW w:w="946" w:type="pct"/>
            <w:shd w:val="clear" w:color="auto" w:fill="auto"/>
            <w:tcMar>
              <w:top w:w="0" w:type="dxa"/>
              <w:bottom w:w="0" w:type="dxa"/>
            </w:tcMar>
            <w:vAlign w:val="center"/>
          </w:tcPr>
          <w:p w14:paraId="7E1A31C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w:t>
            </w:r>
          </w:p>
        </w:tc>
        <w:tc>
          <w:tcPr>
            <w:tcW w:w="1193" w:type="pct"/>
            <w:shd w:val="clear" w:color="auto" w:fill="auto"/>
            <w:tcMar>
              <w:top w:w="0" w:type="dxa"/>
              <w:bottom w:w="0" w:type="dxa"/>
            </w:tcMar>
            <w:vAlign w:val="center"/>
          </w:tcPr>
          <w:p w14:paraId="4DF55AA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1182" w:type="pct"/>
            <w:shd w:val="clear" w:color="auto" w:fill="auto"/>
            <w:tcMar>
              <w:top w:w="0" w:type="dxa"/>
              <w:bottom w:w="0" w:type="dxa"/>
            </w:tcMar>
            <w:vAlign w:val="center"/>
          </w:tcPr>
          <w:p w14:paraId="58A419D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r>
      <w:tr w:rsidR="00944CA2" w:rsidRPr="009F2044" w14:paraId="2A06457E" w14:textId="77777777" w:rsidTr="009F2044">
        <w:trPr>
          <w:cantSplit/>
        </w:trPr>
        <w:tc>
          <w:tcPr>
            <w:tcW w:w="318" w:type="pct"/>
            <w:shd w:val="clear" w:color="auto" w:fill="auto"/>
            <w:tcMar>
              <w:top w:w="0" w:type="dxa"/>
              <w:bottom w:w="0" w:type="dxa"/>
            </w:tcMar>
            <w:vAlign w:val="center"/>
          </w:tcPr>
          <w:p w14:paraId="7F29957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361" w:type="pct"/>
            <w:shd w:val="clear" w:color="auto" w:fill="auto"/>
            <w:tcMar>
              <w:top w:w="0" w:type="dxa"/>
              <w:bottom w:w="0" w:type="dxa"/>
            </w:tcMar>
            <w:vAlign w:val="center"/>
          </w:tcPr>
          <w:p w14:paraId="7958765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Le Anh Chung</w:t>
            </w:r>
          </w:p>
        </w:tc>
        <w:tc>
          <w:tcPr>
            <w:tcW w:w="946" w:type="pct"/>
            <w:shd w:val="clear" w:color="auto" w:fill="auto"/>
            <w:tcMar>
              <w:top w:w="0" w:type="dxa"/>
              <w:bottom w:w="0" w:type="dxa"/>
            </w:tcMar>
            <w:vAlign w:val="center"/>
          </w:tcPr>
          <w:p w14:paraId="51C09563"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w:t>
            </w:r>
          </w:p>
        </w:tc>
        <w:tc>
          <w:tcPr>
            <w:tcW w:w="1193" w:type="pct"/>
            <w:shd w:val="clear" w:color="auto" w:fill="auto"/>
            <w:tcMar>
              <w:top w:w="0" w:type="dxa"/>
              <w:bottom w:w="0" w:type="dxa"/>
            </w:tcMar>
            <w:vAlign w:val="center"/>
          </w:tcPr>
          <w:p w14:paraId="642FD03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1182" w:type="pct"/>
            <w:shd w:val="clear" w:color="auto" w:fill="auto"/>
            <w:tcMar>
              <w:top w:w="0" w:type="dxa"/>
              <w:bottom w:w="0" w:type="dxa"/>
            </w:tcMar>
            <w:vAlign w:val="center"/>
          </w:tcPr>
          <w:p w14:paraId="1953418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Bachelor of Laws</w:t>
            </w:r>
          </w:p>
        </w:tc>
      </w:tr>
      <w:tr w:rsidR="00944CA2" w:rsidRPr="009F2044" w14:paraId="0F01B79A" w14:textId="77777777" w:rsidTr="009F2044">
        <w:trPr>
          <w:cantSplit/>
        </w:trPr>
        <w:tc>
          <w:tcPr>
            <w:tcW w:w="318" w:type="pct"/>
            <w:shd w:val="clear" w:color="auto" w:fill="auto"/>
            <w:tcMar>
              <w:top w:w="0" w:type="dxa"/>
              <w:bottom w:w="0" w:type="dxa"/>
            </w:tcMar>
            <w:vAlign w:val="center"/>
          </w:tcPr>
          <w:p w14:paraId="4DA4BE0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361" w:type="pct"/>
            <w:shd w:val="clear" w:color="auto" w:fill="auto"/>
            <w:tcMar>
              <w:top w:w="0" w:type="dxa"/>
              <w:bottom w:w="0" w:type="dxa"/>
            </w:tcMar>
            <w:vAlign w:val="center"/>
          </w:tcPr>
          <w:p w14:paraId="4419EDE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Hoa</w:t>
            </w:r>
            <w:proofErr w:type="spellEnd"/>
          </w:p>
        </w:tc>
        <w:tc>
          <w:tcPr>
            <w:tcW w:w="946" w:type="pct"/>
            <w:shd w:val="clear" w:color="auto" w:fill="auto"/>
            <w:tcMar>
              <w:top w:w="0" w:type="dxa"/>
              <w:bottom w:w="0" w:type="dxa"/>
            </w:tcMar>
            <w:vAlign w:val="center"/>
          </w:tcPr>
          <w:p w14:paraId="31C9747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w:t>
            </w:r>
          </w:p>
        </w:tc>
        <w:tc>
          <w:tcPr>
            <w:tcW w:w="1193" w:type="pct"/>
            <w:shd w:val="clear" w:color="auto" w:fill="auto"/>
            <w:tcMar>
              <w:top w:w="0" w:type="dxa"/>
              <w:bottom w:w="0" w:type="dxa"/>
            </w:tcMar>
            <w:vAlign w:val="center"/>
          </w:tcPr>
          <w:p w14:paraId="1885CB2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16, 2022</w:t>
            </w:r>
          </w:p>
        </w:tc>
        <w:tc>
          <w:tcPr>
            <w:tcW w:w="1182" w:type="pct"/>
            <w:shd w:val="clear" w:color="auto" w:fill="auto"/>
            <w:tcMar>
              <w:top w:w="0" w:type="dxa"/>
              <w:bottom w:w="0" w:type="dxa"/>
            </w:tcMar>
            <w:vAlign w:val="center"/>
          </w:tcPr>
          <w:p w14:paraId="5FCE78E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Bachelor of Informatics</w:t>
            </w:r>
          </w:p>
        </w:tc>
      </w:tr>
    </w:tbl>
    <w:p w14:paraId="4FED3575" w14:textId="77777777" w:rsidR="00944CA2" w:rsidRPr="009F2044" w:rsidRDefault="00726AEF" w:rsidP="00FD7C55">
      <w:pPr>
        <w:keepNext/>
        <w:numPr>
          <w:ilvl w:val="0"/>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EXECUTIVE BOARD</w:t>
      </w:r>
    </w:p>
    <w:p w14:paraId="5A28B14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
        <w:gridCol w:w="2098"/>
        <w:gridCol w:w="1439"/>
        <w:gridCol w:w="1497"/>
        <w:gridCol w:w="1466"/>
        <w:gridCol w:w="1797"/>
      </w:tblGrid>
      <w:tr w:rsidR="00944CA2" w:rsidRPr="009F2044" w14:paraId="0557C937" w14:textId="77777777" w:rsidTr="009F2044">
        <w:trPr>
          <w:cantSplit/>
        </w:trPr>
        <w:tc>
          <w:tcPr>
            <w:tcW w:w="400" w:type="pct"/>
            <w:shd w:val="clear" w:color="auto" w:fill="auto"/>
            <w:tcMar>
              <w:top w:w="0" w:type="dxa"/>
              <w:bottom w:w="0" w:type="dxa"/>
            </w:tcMar>
            <w:vAlign w:val="center"/>
          </w:tcPr>
          <w:p w14:paraId="6625E09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163" w:type="pct"/>
            <w:shd w:val="clear" w:color="auto" w:fill="auto"/>
            <w:tcMar>
              <w:top w:w="0" w:type="dxa"/>
              <w:bottom w:w="0" w:type="dxa"/>
            </w:tcMar>
            <w:vAlign w:val="center"/>
          </w:tcPr>
          <w:p w14:paraId="5625B4A1"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Executive Board</w:t>
            </w:r>
          </w:p>
        </w:tc>
        <w:tc>
          <w:tcPr>
            <w:tcW w:w="798" w:type="pct"/>
            <w:shd w:val="clear" w:color="auto" w:fill="auto"/>
            <w:tcMar>
              <w:top w:w="0" w:type="dxa"/>
              <w:bottom w:w="0" w:type="dxa"/>
            </w:tcMar>
            <w:vAlign w:val="center"/>
          </w:tcPr>
          <w:p w14:paraId="7F8F7208"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830" w:type="pct"/>
            <w:shd w:val="clear" w:color="auto" w:fill="auto"/>
            <w:tcMar>
              <w:top w:w="0" w:type="dxa"/>
              <w:bottom w:w="0" w:type="dxa"/>
            </w:tcMar>
            <w:vAlign w:val="center"/>
          </w:tcPr>
          <w:p w14:paraId="3D168C2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813" w:type="pct"/>
            <w:shd w:val="clear" w:color="auto" w:fill="auto"/>
            <w:tcMar>
              <w:top w:w="0" w:type="dxa"/>
              <w:bottom w:w="0" w:type="dxa"/>
            </w:tcMar>
            <w:vAlign w:val="center"/>
          </w:tcPr>
          <w:p w14:paraId="250C6A2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Appointment date</w:t>
            </w:r>
          </w:p>
        </w:tc>
        <w:tc>
          <w:tcPr>
            <w:tcW w:w="996" w:type="pct"/>
            <w:shd w:val="clear" w:color="auto" w:fill="auto"/>
            <w:tcMar>
              <w:top w:w="0" w:type="dxa"/>
              <w:bottom w:w="0" w:type="dxa"/>
            </w:tcMar>
            <w:vAlign w:val="center"/>
          </w:tcPr>
          <w:p w14:paraId="6850F87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944CA2" w:rsidRPr="009F2044" w14:paraId="37328869" w14:textId="77777777" w:rsidTr="009F2044">
        <w:trPr>
          <w:cantSplit/>
        </w:trPr>
        <w:tc>
          <w:tcPr>
            <w:tcW w:w="400" w:type="pct"/>
            <w:shd w:val="clear" w:color="auto" w:fill="auto"/>
            <w:tcMar>
              <w:top w:w="0" w:type="dxa"/>
              <w:bottom w:w="0" w:type="dxa"/>
            </w:tcMar>
            <w:vAlign w:val="center"/>
          </w:tcPr>
          <w:p w14:paraId="13CF055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163" w:type="pct"/>
            <w:shd w:val="clear" w:color="auto" w:fill="auto"/>
            <w:tcMar>
              <w:top w:w="0" w:type="dxa"/>
              <w:bottom w:w="0" w:type="dxa"/>
            </w:tcMar>
            <w:vAlign w:val="center"/>
          </w:tcPr>
          <w:p w14:paraId="080DBE72"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The</w:t>
            </w:r>
          </w:p>
        </w:tc>
        <w:tc>
          <w:tcPr>
            <w:tcW w:w="798" w:type="pct"/>
            <w:shd w:val="clear" w:color="auto" w:fill="auto"/>
            <w:tcMar>
              <w:top w:w="0" w:type="dxa"/>
              <w:bottom w:w="0" w:type="dxa"/>
            </w:tcMar>
            <w:vAlign w:val="center"/>
          </w:tcPr>
          <w:p w14:paraId="124FBFFB"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Manager</w:t>
            </w:r>
          </w:p>
        </w:tc>
        <w:tc>
          <w:tcPr>
            <w:tcW w:w="830" w:type="pct"/>
            <w:shd w:val="clear" w:color="auto" w:fill="auto"/>
            <w:tcMar>
              <w:top w:w="0" w:type="dxa"/>
              <w:bottom w:w="0" w:type="dxa"/>
            </w:tcMar>
            <w:vAlign w:val="center"/>
          </w:tcPr>
          <w:p w14:paraId="1884CC3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19, 1970</w:t>
            </w:r>
          </w:p>
        </w:tc>
        <w:tc>
          <w:tcPr>
            <w:tcW w:w="813" w:type="pct"/>
            <w:shd w:val="clear" w:color="auto" w:fill="auto"/>
            <w:tcMar>
              <w:top w:w="0" w:type="dxa"/>
              <w:bottom w:w="0" w:type="dxa"/>
            </w:tcMar>
            <w:vAlign w:val="center"/>
          </w:tcPr>
          <w:p w14:paraId="399C01A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27, 2019</w:t>
            </w:r>
          </w:p>
        </w:tc>
        <w:tc>
          <w:tcPr>
            <w:tcW w:w="996" w:type="pct"/>
            <w:shd w:val="clear" w:color="auto" w:fill="auto"/>
            <w:tcMar>
              <w:top w:w="0" w:type="dxa"/>
              <w:bottom w:w="0" w:type="dxa"/>
            </w:tcMar>
            <w:vAlign w:val="center"/>
          </w:tcPr>
          <w:p w14:paraId="30F80DB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Engineer of Technology and Machinery Manufacturing</w:t>
            </w:r>
          </w:p>
        </w:tc>
      </w:tr>
      <w:tr w:rsidR="00944CA2" w:rsidRPr="009F2044" w14:paraId="16BC7052" w14:textId="77777777" w:rsidTr="009F2044">
        <w:trPr>
          <w:cantSplit/>
        </w:trPr>
        <w:tc>
          <w:tcPr>
            <w:tcW w:w="400" w:type="pct"/>
            <w:shd w:val="clear" w:color="auto" w:fill="auto"/>
            <w:tcMar>
              <w:top w:w="0" w:type="dxa"/>
              <w:bottom w:w="0" w:type="dxa"/>
            </w:tcMar>
            <w:vAlign w:val="center"/>
          </w:tcPr>
          <w:p w14:paraId="28A7EBB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163" w:type="pct"/>
            <w:shd w:val="clear" w:color="auto" w:fill="auto"/>
            <w:tcMar>
              <w:top w:w="0" w:type="dxa"/>
              <w:bottom w:w="0" w:type="dxa"/>
            </w:tcMar>
            <w:vAlign w:val="center"/>
          </w:tcPr>
          <w:p w14:paraId="4D0A1DC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Nhi</w:t>
            </w:r>
            <w:proofErr w:type="spellEnd"/>
          </w:p>
        </w:tc>
        <w:tc>
          <w:tcPr>
            <w:tcW w:w="798" w:type="pct"/>
            <w:shd w:val="clear" w:color="auto" w:fill="auto"/>
            <w:tcMar>
              <w:top w:w="0" w:type="dxa"/>
              <w:bottom w:w="0" w:type="dxa"/>
            </w:tcMar>
            <w:vAlign w:val="center"/>
          </w:tcPr>
          <w:p w14:paraId="1825166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Vice General Manager</w:t>
            </w:r>
          </w:p>
        </w:tc>
        <w:tc>
          <w:tcPr>
            <w:tcW w:w="830" w:type="pct"/>
            <w:shd w:val="clear" w:color="auto" w:fill="auto"/>
            <w:tcMar>
              <w:top w:w="0" w:type="dxa"/>
              <w:bottom w:w="0" w:type="dxa"/>
            </w:tcMar>
            <w:vAlign w:val="center"/>
          </w:tcPr>
          <w:p w14:paraId="61D9A00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01, 1978</w:t>
            </w:r>
          </w:p>
        </w:tc>
        <w:tc>
          <w:tcPr>
            <w:tcW w:w="813" w:type="pct"/>
            <w:shd w:val="clear" w:color="auto" w:fill="auto"/>
            <w:tcMar>
              <w:top w:w="0" w:type="dxa"/>
              <w:bottom w:w="0" w:type="dxa"/>
            </w:tcMar>
            <w:vAlign w:val="center"/>
          </w:tcPr>
          <w:p w14:paraId="74DDC765"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01, 2014</w:t>
            </w:r>
          </w:p>
        </w:tc>
        <w:tc>
          <w:tcPr>
            <w:tcW w:w="996" w:type="pct"/>
            <w:shd w:val="clear" w:color="auto" w:fill="auto"/>
            <w:tcMar>
              <w:top w:w="0" w:type="dxa"/>
              <w:bottom w:w="0" w:type="dxa"/>
            </w:tcMar>
            <w:vAlign w:val="center"/>
          </w:tcPr>
          <w:p w14:paraId="7B376220"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Bachelor of Accounting</w:t>
            </w:r>
          </w:p>
        </w:tc>
      </w:tr>
    </w:tbl>
    <w:p w14:paraId="562DB5A8" w14:textId="77777777" w:rsidR="00944CA2" w:rsidRPr="009F2044" w:rsidRDefault="00726AEF" w:rsidP="00FD7C55">
      <w:pPr>
        <w:keepNext/>
        <w:numPr>
          <w:ilvl w:val="0"/>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2125"/>
        <w:gridCol w:w="1542"/>
        <w:gridCol w:w="2538"/>
        <w:gridCol w:w="2107"/>
      </w:tblGrid>
      <w:tr w:rsidR="00944CA2" w:rsidRPr="009F2044" w14:paraId="40784556" w14:textId="77777777" w:rsidTr="009F2044">
        <w:trPr>
          <w:cantSplit/>
        </w:trPr>
        <w:tc>
          <w:tcPr>
            <w:tcW w:w="392" w:type="pct"/>
            <w:shd w:val="clear" w:color="auto" w:fill="auto"/>
            <w:tcMar>
              <w:top w:w="0" w:type="dxa"/>
              <w:bottom w:w="0" w:type="dxa"/>
            </w:tcMar>
            <w:vAlign w:val="center"/>
          </w:tcPr>
          <w:p w14:paraId="329ECCE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178" w:type="pct"/>
            <w:shd w:val="clear" w:color="auto" w:fill="auto"/>
            <w:tcMar>
              <w:top w:w="0" w:type="dxa"/>
              <w:bottom w:w="0" w:type="dxa"/>
            </w:tcMar>
            <w:vAlign w:val="center"/>
          </w:tcPr>
          <w:p w14:paraId="11271F0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855" w:type="pct"/>
            <w:shd w:val="clear" w:color="auto" w:fill="auto"/>
            <w:tcMar>
              <w:top w:w="0" w:type="dxa"/>
              <w:bottom w:w="0" w:type="dxa"/>
            </w:tcMar>
            <w:vAlign w:val="center"/>
          </w:tcPr>
          <w:p w14:paraId="24DDD4A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1407" w:type="pct"/>
            <w:shd w:val="clear" w:color="auto" w:fill="auto"/>
            <w:tcMar>
              <w:top w:w="0" w:type="dxa"/>
              <w:bottom w:w="0" w:type="dxa"/>
            </w:tcMar>
            <w:vAlign w:val="center"/>
          </w:tcPr>
          <w:p w14:paraId="6D33588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Appointment date</w:t>
            </w:r>
          </w:p>
        </w:tc>
        <w:tc>
          <w:tcPr>
            <w:tcW w:w="1168" w:type="pct"/>
            <w:shd w:val="clear" w:color="auto" w:fill="auto"/>
            <w:tcMar>
              <w:top w:w="0" w:type="dxa"/>
              <w:bottom w:w="0" w:type="dxa"/>
            </w:tcMar>
            <w:vAlign w:val="center"/>
          </w:tcPr>
          <w:p w14:paraId="65D8927A"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944CA2" w:rsidRPr="009F2044" w14:paraId="43F9DC26" w14:textId="77777777" w:rsidTr="009F2044">
        <w:trPr>
          <w:cantSplit/>
        </w:trPr>
        <w:tc>
          <w:tcPr>
            <w:tcW w:w="392" w:type="pct"/>
            <w:shd w:val="clear" w:color="auto" w:fill="auto"/>
            <w:tcMar>
              <w:top w:w="0" w:type="dxa"/>
              <w:bottom w:w="0" w:type="dxa"/>
            </w:tcMar>
            <w:vAlign w:val="center"/>
          </w:tcPr>
          <w:p w14:paraId="6108C71C"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178" w:type="pct"/>
            <w:shd w:val="clear" w:color="auto" w:fill="auto"/>
            <w:tcMar>
              <w:top w:w="0" w:type="dxa"/>
              <w:bottom w:w="0" w:type="dxa"/>
            </w:tcMar>
            <w:vAlign w:val="center"/>
          </w:tcPr>
          <w:p w14:paraId="28CB795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Nguyen Thi Thuy</w:t>
            </w:r>
          </w:p>
        </w:tc>
        <w:tc>
          <w:tcPr>
            <w:tcW w:w="855" w:type="pct"/>
            <w:shd w:val="clear" w:color="auto" w:fill="auto"/>
            <w:tcMar>
              <w:top w:w="0" w:type="dxa"/>
              <w:bottom w:w="0" w:type="dxa"/>
            </w:tcMar>
            <w:vAlign w:val="center"/>
          </w:tcPr>
          <w:p w14:paraId="20FA6488"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August 10, 1980</w:t>
            </w:r>
          </w:p>
        </w:tc>
        <w:tc>
          <w:tcPr>
            <w:tcW w:w="1407" w:type="pct"/>
            <w:shd w:val="clear" w:color="auto" w:fill="auto"/>
            <w:tcMar>
              <w:top w:w="0" w:type="dxa"/>
              <w:bottom w:w="0" w:type="dxa"/>
            </w:tcMar>
            <w:vAlign w:val="center"/>
          </w:tcPr>
          <w:p w14:paraId="40EF872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11, 2015</w:t>
            </w:r>
          </w:p>
        </w:tc>
        <w:tc>
          <w:tcPr>
            <w:tcW w:w="1168" w:type="pct"/>
            <w:shd w:val="clear" w:color="auto" w:fill="auto"/>
            <w:tcMar>
              <w:top w:w="0" w:type="dxa"/>
              <w:bottom w:w="0" w:type="dxa"/>
            </w:tcMar>
            <w:vAlign w:val="center"/>
          </w:tcPr>
          <w:p w14:paraId="4020C387"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Bachelor of Accounting</w:t>
            </w:r>
          </w:p>
        </w:tc>
      </w:tr>
    </w:tbl>
    <w:p w14:paraId="637F69EE" w14:textId="77777777" w:rsidR="00944CA2" w:rsidRPr="009F2044" w:rsidRDefault="00726AEF" w:rsidP="00FD7C55">
      <w:pPr>
        <w:keepNext/>
        <w:numPr>
          <w:ilvl w:val="0"/>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2A0FBE48" w14:textId="77777777" w:rsidR="00944CA2" w:rsidRPr="009F2044" w:rsidRDefault="00726AEF" w:rsidP="00FD7C55">
      <w:pPr>
        <w:keepNext/>
        <w:numPr>
          <w:ilvl w:val="0"/>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AND THE COMPANY ITSELF.</w:t>
      </w:r>
    </w:p>
    <w:p w14:paraId="26AE6AE1" w14:textId="77777777" w:rsidR="00944CA2" w:rsidRPr="009F2044" w:rsidRDefault="00726AEF" w:rsidP="00FD7C55">
      <w:pPr>
        <w:keepNext/>
        <w:numPr>
          <w:ilvl w:val="1"/>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p w14:paraId="0C4710E2" w14:textId="77777777" w:rsidR="00944CA2" w:rsidRPr="009F2044" w:rsidRDefault="00726AEF" w:rsidP="00FD7C55">
      <w:pPr>
        <w:keepNext/>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Pr>
          <w:rFonts w:ascii="Arial" w:hAnsi="Arial"/>
          <w:color w:val="010000"/>
          <w:sz w:val="20"/>
        </w:rPr>
        <w:t>None</w:t>
      </w:r>
    </w:p>
    <w:p w14:paraId="1D5F6B18" w14:textId="77777777" w:rsidR="00944CA2" w:rsidRPr="009F2044" w:rsidRDefault="00726AEF" w:rsidP="00FD7C55">
      <w:pPr>
        <w:keepNext/>
        <w:numPr>
          <w:ilvl w:val="1"/>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Company’s PDMR, affiliated persons of PDMR and subsidiaries, </w:t>
      </w:r>
      <w:r>
        <w:rPr>
          <w:rFonts w:ascii="Arial" w:hAnsi="Arial"/>
          <w:color w:val="010000"/>
          <w:sz w:val="20"/>
        </w:rPr>
        <w:lastRenderedPageBreak/>
        <w:t>companies controlled by the Company:</w:t>
      </w:r>
    </w:p>
    <w:p w14:paraId="709C4C03" w14:textId="77777777" w:rsidR="00944CA2" w:rsidRPr="009F2044" w:rsidRDefault="00726AEF" w:rsidP="00FD7C55">
      <w:pPr>
        <w:keepNext/>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Pr>
          <w:rFonts w:ascii="Arial" w:hAnsi="Arial"/>
          <w:color w:val="010000"/>
          <w:sz w:val="20"/>
        </w:rPr>
        <w:t>None</w:t>
      </w:r>
    </w:p>
    <w:p w14:paraId="371CF631" w14:textId="77777777" w:rsidR="00944CA2" w:rsidRPr="009F2044" w:rsidRDefault="00726AEF" w:rsidP="00FD7C55">
      <w:pPr>
        <w:keepNext/>
        <w:numPr>
          <w:ilvl w:val="1"/>
          <w:numId w:val="6"/>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6D1D8D3D"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Manager (General Manager) and other managers have been and are founding members or members of the Board of Directors, Executive Manager (General Manager) for the past three (03) years (as at the time of reporting).</w:t>
      </w:r>
    </w:p>
    <w:p w14:paraId="21C05C64"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6BA52C4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3AA0E30F"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493377B6"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w:t>
      </w:r>
    </w:p>
    <w:p w14:paraId="568462F9" w14:textId="77777777" w:rsidR="00944CA2" w:rsidRPr="009F2044" w:rsidRDefault="00726AEF" w:rsidP="00FD7C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2FD5CCD7" w14:textId="77777777" w:rsidR="00944CA2" w:rsidRPr="009F2044" w:rsidRDefault="00726AEF" w:rsidP="00FD7C55">
      <w:pPr>
        <w:keepNext/>
        <w:numPr>
          <w:ilvl w:val="0"/>
          <w:numId w:val="6"/>
        </w:numPr>
        <w:pBdr>
          <w:top w:val="nil"/>
          <w:left w:val="nil"/>
          <w:bottom w:val="nil"/>
          <w:right w:val="nil"/>
          <w:between w:val="nil"/>
        </w:pBdr>
        <w:tabs>
          <w:tab w:val="left" w:pos="432"/>
          <w:tab w:val="left" w:pos="114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72F40CCF" w14:textId="6FD5A517" w:rsidR="00944CA2" w:rsidRPr="00FD7C55" w:rsidRDefault="00726AEF" w:rsidP="00FD7C55">
      <w:pPr>
        <w:keepNext/>
        <w:numPr>
          <w:ilvl w:val="1"/>
          <w:numId w:val="6"/>
        </w:numPr>
        <w:pBdr>
          <w:top w:val="nil"/>
          <w:left w:val="nil"/>
          <w:bottom w:val="nil"/>
          <w:right w:val="nil"/>
          <w:between w:val="nil"/>
        </w:pBdr>
        <w:tabs>
          <w:tab w:val="left" w:pos="432"/>
          <w:tab w:val="left" w:pos="114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and affiliated persons related to the Company’s shares:</w:t>
      </w:r>
      <w:r w:rsidR="00FD7C55">
        <w:rPr>
          <w:rFonts w:ascii="Arial" w:eastAsia="Arial" w:hAnsi="Arial" w:cs="Arial"/>
          <w:color w:val="010000"/>
          <w:sz w:val="20"/>
          <w:szCs w:val="20"/>
        </w:rPr>
        <w:t xml:space="preserve"> </w:t>
      </w:r>
      <w:r w:rsidRPr="00FD7C55">
        <w:rPr>
          <w:rFonts w:ascii="Arial" w:hAnsi="Arial"/>
          <w:color w:val="010000"/>
          <w:sz w:val="20"/>
        </w:rPr>
        <w:t>None.</w:t>
      </w:r>
    </w:p>
    <w:p w14:paraId="61EA8546" w14:textId="5D253FC1" w:rsidR="00944CA2" w:rsidRPr="00FD7C55" w:rsidRDefault="00726AEF" w:rsidP="00FD7C55">
      <w:pPr>
        <w:keepNext/>
        <w:numPr>
          <w:ilvl w:val="0"/>
          <w:numId w:val="6"/>
        </w:numPr>
        <w:pBdr>
          <w:top w:val="nil"/>
          <w:left w:val="nil"/>
          <w:bottom w:val="nil"/>
          <w:right w:val="nil"/>
          <w:between w:val="nil"/>
        </w:pBdr>
        <w:tabs>
          <w:tab w:val="left" w:pos="432"/>
          <w:tab w:val="left" w:pos="1142"/>
        </w:tabs>
        <w:spacing w:after="120" w:line="360" w:lineRule="auto"/>
        <w:ind w:left="0" w:firstLine="0"/>
        <w:jc w:val="both"/>
        <w:rPr>
          <w:rFonts w:ascii="Arial" w:eastAsia="Arial" w:hAnsi="Arial" w:cs="Arial"/>
          <w:color w:val="010000"/>
          <w:sz w:val="20"/>
          <w:szCs w:val="20"/>
        </w:rPr>
      </w:pPr>
      <w:bookmarkStart w:id="0" w:name="_GoBack"/>
      <w:r>
        <w:rPr>
          <w:rFonts w:ascii="Arial" w:hAnsi="Arial"/>
          <w:color w:val="010000"/>
          <w:sz w:val="20"/>
        </w:rPr>
        <w:t>OTHER SIGNIFICANT ISSUES</w:t>
      </w:r>
      <w:bookmarkEnd w:id="0"/>
      <w:r>
        <w:rPr>
          <w:rFonts w:ascii="Arial" w:hAnsi="Arial"/>
          <w:color w:val="010000"/>
          <w:sz w:val="20"/>
        </w:rPr>
        <w:t>:</w:t>
      </w:r>
      <w:r w:rsidR="00FD7C55">
        <w:rPr>
          <w:rFonts w:ascii="Arial" w:eastAsia="Arial" w:hAnsi="Arial" w:cs="Arial"/>
          <w:color w:val="010000"/>
          <w:sz w:val="20"/>
          <w:szCs w:val="20"/>
        </w:rPr>
        <w:t xml:space="preserve"> </w:t>
      </w:r>
      <w:r w:rsidRPr="00FD7C55">
        <w:rPr>
          <w:rFonts w:ascii="Arial" w:hAnsi="Arial"/>
          <w:color w:val="010000"/>
          <w:sz w:val="20"/>
        </w:rPr>
        <w:t>None</w:t>
      </w:r>
      <w:r w:rsidR="00FD7C55" w:rsidRPr="00FD7C55">
        <w:rPr>
          <w:rFonts w:ascii="Arial" w:hAnsi="Arial"/>
          <w:color w:val="010000"/>
          <w:sz w:val="20"/>
        </w:rPr>
        <w:t>.</w:t>
      </w:r>
    </w:p>
    <w:sectPr w:rsidR="00944CA2" w:rsidRPr="00FD7C55" w:rsidSect="002E1874">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341"/>
    <w:multiLevelType w:val="multilevel"/>
    <w:tmpl w:val="9DDEFFA2"/>
    <w:lvl w:ilvl="0">
      <w:start w:val="1"/>
      <w:numFmt w:val="bullet"/>
      <w:lvlText w:val="+"/>
      <w:lvlJc w:val="left"/>
      <w:pPr>
        <w:ind w:left="360" w:hanging="360"/>
      </w:pPr>
      <w:rPr>
        <w:rFonts w:ascii="Arial" w:eastAsia="Arial" w:hAnsi="Arial" w:cs="Arial"/>
        <w:b w:val="0"/>
        <w:i w:val="0"/>
        <w:sz w:val="20"/>
        <w:szCs w:val="20"/>
        <w:u w:val="none"/>
      </w:rPr>
    </w:lvl>
    <w:lvl w:ilvl="1">
      <w:start w:val="1"/>
      <w:numFmt w:val="bullet"/>
      <w:lvlText w:val="o"/>
      <w:lvlJc w:val="left"/>
      <w:pPr>
        <w:ind w:left="1080" w:hanging="360"/>
      </w:pPr>
      <w:rPr>
        <w:rFonts w:ascii="Arial" w:eastAsia="Arial" w:hAnsi="Arial" w:cs="Arial"/>
        <w:b w:val="0"/>
        <w:i w:val="0"/>
        <w:sz w:val="20"/>
        <w:szCs w:val="20"/>
      </w:rPr>
    </w:lvl>
    <w:lvl w:ilvl="2">
      <w:start w:val="1"/>
      <w:numFmt w:val="bullet"/>
      <w:lvlText w:val="▪"/>
      <w:lvlJc w:val="left"/>
      <w:pPr>
        <w:ind w:left="1800" w:hanging="360"/>
      </w:pPr>
      <w:rPr>
        <w:rFonts w:ascii="Arial" w:eastAsia="Arial" w:hAnsi="Arial" w:cs="Arial"/>
        <w:b w:val="0"/>
        <w:i w:val="0"/>
        <w:sz w:val="20"/>
        <w:szCs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DB27A9"/>
    <w:multiLevelType w:val="multilevel"/>
    <w:tmpl w:val="661CA04C"/>
    <w:lvl w:ilvl="0">
      <w:start w:val="1"/>
      <w:numFmt w:val="bullet"/>
      <w:lvlText w:val="+"/>
      <w:lvlJc w:val="left"/>
      <w:pPr>
        <w:ind w:left="360" w:hanging="360"/>
      </w:pPr>
      <w:rPr>
        <w:rFonts w:ascii="Arial" w:eastAsia="Arial" w:hAnsi="Arial" w:cs="Arial"/>
        <w:b w:val="0"/>
        <w:i w:val="0"/>
        <w:sz w:val="20"/>
        <w:szCs w:val="20"/>
        <w:u w:val="none"/>
      </w:rPr>
    </w:lvl>
    <w:lvl w:ilvl="1">
      <w:start w:val="1"/>
      <w:numFmt w:val="bullet"/>
      <w:lvlText w:val="o"/>
      <w:lvlJc w:val="left"/>
      <w:pPr>
        <w:ind w:left="1080" w:hanging="360"/>
      </w:pPr>
      <w:rPr>
        <w:rFonts w:ascii="Arial" w:eastAsia="Arial" w:hAnsi="Arial" w:cs="Arial"/>
        <w:b w:val="0"/>
        <w:i w:val="0"/>
        <w:sz w:val="20"/>
        <w:szCs w:val="20"/>
      </w:rPr>
    </w:lvl>
    <w:lvl w:ilvl="2">
      <w:start w:val="1"/>
      <w:numFmt w:val="bullet"/>
      <w:lvlText w:val="▪"/>
      <w:lvlJc w:val="left"/>
      <w:pPr>
        <w:ind w:left="1800" w:hanging="360"/>
      </w:pPr>
      <w:rPr>
        <w:rFonts w:ascii="Arial" w:eastAsia="Arial" w:hAnsi="Arial" w:cs="Arial"/>
        <w:b w:val="0"/>
        <w:i w:val="0"/>
        <w:sz w:val="20"/>
        <w:szCs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C570A8"/>
    <w:multiLevelType w:val="multilevel"/>
    <w:tmpl w:val="76C867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195246"/>
    <w:multiLevelType w:val="multilevel"/>
    <w:tmpl w:val="231A1C9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885CE3"/>
    <w:multiLevelType w:val="multilevel"/>
    <w:tmpl w:val="6ACC6F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9C2842"/>
    <w:multiLevelType w:val="multilevel"/>
    <w:tmpl w:val="711E1A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C93275"/>
    <w:multiLevelType w:val="multilevel"/>
    <w:tmpl w:val="C65408BA"/>
    <w:lvl w:ilvl="0">
      <w:start w:val="1"/>
      <w:numFmt w:val="bullet"/>
      <w:lvlText w:val="❖"/>
      <w:lvlJc w:val="left"/>
      <w:pPr>
        <w:ind w:left="360" w:hanging="360"/>
      </w:pPr>
      <w:rPr>
        <w:rFonts w:ascii="Arial" w:eastAsia="Arial" w:hAnsi="Arial" w:cs="Arial"/>
        <w:b w:val="0"/>
        <w:i w:val="0"/>
        <w:sz w:val="20"/>
        <w:szCs w:val="20"/>
        <w:u w:val="none"/>
      </w:rPr>
    </w:lvl>
    <w:lvl w:ilvl="1">
      <w:start w:val="1"/>
      <w:numFmt w:val="bullet"/>
      <w:lvlText w:val="o"/>
      <w:lvlJc w:val="left"/>
      <w:pPr>
        <w:ind w:left="1080" w:hanging="360"/>
      </w:pPr>
      <w:rPr>
        <w:rFonts w:ascii="Arial" w:eastAsia="Arial" w:hAnsi="Arial" w:cs="Arial"/>
        <w:b w:val="0"/>
        <w:i w:val="0"/>
        <w:sz w:val="20"/>
        <w:szCs w:val="20"/>
      </w:rPr>
    </w:lvl>
    <w:lvl w:ilvl="2">
      <w:start w:val="1"/>
      <w:numFmt w:val="bullet"/>
      <w:lvlText w:val="▪"/>
      <w:lvlJc w:val="left"/>
      <w:pPr>
        <w:ind w:left="1800" w:hanging="360"/>
      </w:pPr>
      <w:rPr>
        <w:rFonts w:ascii="Arial" w:eastAsia="Arial" w:hAnsi="Arial" w:cs="Arial"/>
        <w:b w:val="0"/>
        <w:i w:val="0"/>
        <w:sz w:val="20"/>
        <w:szCs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2D010D7"/>
    <w:multiLevelType w:val="multilevel"/>
    <w:tmpl w:val="9ADA16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46C5F5E"/>
    <w:multiLevelType w:val="multilevel"/>
    <w:tmpl w:val="D11218EC"/>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070" w:hanging="36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4AD6F4D"/>
    <w:multiLevelType w:val="multilevel"/>
    <w:tmpl w:val="62523A18"/>
    <w:lvl w:ilvl="0">
      <w:start w:val="3"/>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440" w:hanging="720"/>
      </w:pPr>
      <w:rPr>
        <w:rFonts w:ascii="Arial" w:eastAsia="Arial" w:hAnsi="Arial" w:cs="Arial"/>
        <w:b w:val="0"/>
        <w:i w:val="0"/>
        <w:sz w:val="20"/>
        <w:szCs w:val="20"/>
      </w:rPr>
    </w:lvl>
    <w:lvl w:ilvl="2">
      <w:start w:val="1"/>
      <w:numFmt w:val="decimal"/>
      <w:lvlText w:val="%1.%2.%3."/>
      <w:lvlJc w:val="left"/>
      <w:pPr>
        <w:ind w:left="2160" w:hanging="720"/>
      </w:pPr>
      <w:rPr>
        <w:rFonts w:ascii="Arial" w:eastAsia="Arial" w:hAnsi="Arial" w:cs="Arial"/>
        <w:b w:val="0"/>
        <w:i w:val="0"/>
        <w:sz w:val="20"/>
        <w:szCs w:val="20"/>
      </w:rPr>
    </w:lvl>
    <w:lvl w:ilvl="3">
      <w:start w:val="1"/>
      <w:numFmt w:val="decimalZero"/>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47A1354F"/>
    <w:multiLevelType w:val="multilevel"/>
    <w:tmpl w:val="B8BC7F52"/>
    <w:lvl w:ilvl="0">
      <w:start w:val="1"/>
      <w:numFmt w:val="bullet"/>
      <w:lvlText w:val="+"/>
      <w:lvlJc w:val="left"/>
      <w:pPr>
        <w:ind w:left="1080" w:hanging="360"/>
      </w:pPr>
      <w:rPr>
        <w:rFonts w:ascii="Arial" w:eastAsia="Arial" w:hAnsi="Arial" w:cs="Arial"/>
        <w:b w:val="0"/>
        <w:i w:val="0"/>
        <w:color w:val="00000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32C779A"/>
    <w:multiLevelType w:val="multilevel"/>
    <w:tmpl w:val="525866B0"/>
    <w:lvl w:ilvl="0">
      <w:start w:val="2"/>
      <w:numFmt w:val="decimal"/>
      <w:lvlText w:val="%1."/>
      <w:lvlJc w:val="left"/>
      <w:pPr>
        <w:ind w:left="480" w:hanging="480"/>
      </w:pPr>
      <w:rPr>
        <w:rFonts w:ascii="Arial" w:eastAsia="Arial" w:hAnsi="Arial" w:cs="Arial"/>
        <w:b w:val="0"/>
        <w:i w:val="0"/>
        <w:sz w:val="20"/>
        <w:szCs w:val="20"/>
        <w:u w:val="none"/>
      </w:rPr>
    </w:lvl>
    <w:lvl w:ilvl="1">
      <w:start w:val="10"/>
      <w:numFmt w:val="decimal"/>
      <w:lvlText w:val="%1.%2."/>
      <w:lvlJc w:val="left"/>
      <w:pPr>
        <w:ind w:left="720" w:hanging="72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Zero"/>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15:restartNumberingAfterBreak="0">
    <w:nsid w:val="5E413BD6"/>
    <w:multiLevelType w:val="multilevel"/>
    <w:tmpl w:val="5C20909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E97245"/>
    <w:multiLevelType w:val="multilevel"/>
    <w:tmpl w:val="0D2EFDCC"/>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4B639F1"/>
    <w:multiLevelType w:val="multilevel"/>
    <w:tmpl w:val="1A2A4014"/>
    <w:lvl w:ilvl="0">
      <w:start w:val="1"/>
      <w:numFmt w:val="bullet"/>
      <w:lvlText w:val="❖"/>
      <w:lvlJc w:val="left"/>
      <w:pPr>
        <w:ind w:left="740" w:hanging="360"/>
      </w:pPr>
      <w:rPr>
        <w:rFonts w:ascii="Arial" w:eastAsia="Arial" w:hAnsi="Arial" w:cs="Arial"/>
        <w:b w:val="0"/>
        <w:i w:val="0"/>
        <w:sz w:val="20"/>
        <w:szCs w:val="20"/>
        <w:u w:val="none"/>
      </w:rPr>
    </w:lvl>
    <w:lvl w:ilvl="1">
      <w:start w:val="1"/>
      <w:numFmt w:val="bullet"/>
      <w:lvlText w:val="o"/>
      <w:lvlJc w:val="left"/>
      <w:pPr>
        <w:ind w:left="1460" w:hanging="360"/>
      </w:pPr>
      <w:rPr>
        <w:rFonts w:ascii="Arial" w:eastAsia="Arial" w:hAnsi="Arial" w:cs="Arial"/>
        <w:b w:val="0"/>
        <w:i w:val="0"/>
        <w:sz w:val="20"/>
        <w:szCs w:val="20"/>
      </w:rPr>
    </w:lvl>
    <w:lvl w:ilvl="2">
      <w:start w:val="1"/>
      <w:numFmt w:val="bullet"/>
      <w:lvlText w:val="▪"/>
      <w:lvlJc w:val="left"/>
      <w:pPr>
        <w:ind w:left="2180" w:hanging="360"/>
      </w:pPr>
      <w:rPr>
        <w:rFonts w:ascii="Arial" w:eastAsia="Arial" w:hAnsi="Arial" w:cs="Arial"/>
        <w:b w:val="0"/>
        <w:i w:val="0"/>
        <w:sz w:val="20"/>
        <w:szCs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num w:numId="1">
    <w:abstractNumId w:val="3"/>
  </w:num>
  <w:num w:numId="2">
    <w:abstractNumId w:val="10"/>
  </w:num>
  <w:num w:numId="3">
    <w:abstractNumId w:val="1"/>
  </w:num>
  <w:num w:numId="4">
    <w:abstractNumId w:val="11"/>
  </w:num>
  <w:num w:numId="5">
    <w:abstractNumId w:val="13"/>
  </w:num>
  <w:num w:numId="6">
    <w:abstractNumId w:val="9"/>
  </w:num>
  <w:num w:numId="7">
    <w:abstractNumId w:val="14"/>
  </w:num>
  <w:num w:numId="8">
    <w:abstractNumId w:val="2"/>
  </w:num>
  <w:num w:numId="9">
    <w:abstractNumId w:val="12"/>
  </w:num>
  <w:num w:numId="10">
    <w:abstractNumId w:val="5"/>
  </w:num>
  <w:num w:numId="11">
    <w:abstractNumId w:val="7"/>
  </w:num>
  <w:num w:numId="12">
    <w:abstractNumId w:val="8"/>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A2"/>
    <w:rsid w:val="002E1874"/>
    <w:rsid w:val="00354E7A"/>
    <w:rsid w:val="00726AEF"/>
    <w:rsid w:val="00897AA2"/>
    <w:rsid w:val="008E0B17"/>
    <w:rsid w:val="00944CA2"/>
    <w:rsid w:val="009F2044"/>
    <w:rsid w:val="00D761AA"/>
    <w:rsid w:val="00FD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5C10"/>
  <w15:docId w15:val="{5B2ADF9E-A243-4C0D-ADE1-E9ADF129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E8394"/>
      <w:sz w:val="16"/>
      <w:szCs w:val="16"/>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color w:val="454545"/>
      <w:sz w:val="28"/>
      <w:szCs w:val="28"/>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9" w:lineRule="auto"/>
      <w:ind w:firstLine="20"/>
    </w:pPr>
    <w:rPr>
      <w:rFonts w:ascii="Arial" w:eastAsia="Arial" w:hAnsi="Arial" w:cs="Arial"/>
      <w:sz w:val="22"/>
      <w:szCs w:val="22"/>
    </w:rPr>
  </w:style>
  <w:style w:type="paragraph" w:customStyle="1" w:styleId="Bodytext40">
    <w:name w:val="Body text (4)"/>
    <w:basedOn w:val="Normal"/>
    <w:link w:val="Bodytext4"/>
    <w:rPr>
      <w:rFonts w:ascii="Arial" w:eastAsia="Arial" w:hAnsi="Arial" w:cs="Arial"/>
      <w:color w:val="BE8394"/>
      <w:sz w:val="16"/>
      <w:szCs w:val="16"/>
    </w:rPr>
  </w:style>
  <w:style w:type="paragraph" w:customStyle="1" w:styleId="Heading11">
    <w:name w:val="Heading #1"/>
    <w:basedOn w:val="Normal"/>
    <w:link w:val="Heading10"/>
    <w:pPr>
      <w:ind w:left="3380"/>
      <w:outlineLvl w:val="0"/>
    </w:pPr>
    <w:rPr>
      <w:rFonts w:ascii="Arial" w:eastAsia="Arial" w:hAnsi="Arial" w:cs="Arial"/>
      <w:b/>
      <w:bCs/>
      <w:color w:val="454545"/>
      <w:sz w:val="28"/>
      <w:szCs w:val="28"/>
    </w:rPr>
  </w:style>
  <w:style w:type="paragraph" w:customStyle="1" w:styleId="Heading21">
    <w:name w:val="Heading #2"/>
    <w:basedOn w:val="Normal"/>
    <w:link w:val="Heading20"/>
    <w:pPr>
      <w:spacing w:line="250" w:lineRule="auto"/>
      <w:ind w:left="1120"/>
      <w:outlineLvl w:val="1"/>
    </w:pPr>
    <w:rPr>
      <w:rFonts w:ascii="Arial" w:eastAsia="Arial" w:hAnsi="Arial" w:cs="Arial"/>
      <w:b/>
      <w:bCs/>
      <w:sz w:val="26"/>
      <w:szCs w:val="26"/>
    </w:rPr>
  </w:style>
  <w:style w:type="paragraph" w:customStyle="1" w:styleId="Heading31">
    <w:name w:val="Heading #3"/>
    <w:basedOn w:val="Normal"/>
    <w:link w:val="Heading30"/>
    <w:pPr>
      <w:spacing w:line="259" w:lineRule="auto"/>
      <w:outlineLvl w:val="2"/>
    </w:pPr>
    <w:rPr>
      <w:rFonts w:ascii="Arial" w:eastAsia="Arial" w:hAnsi="Arial" w:cs="Arial"/>
      <w:b/>
      <w:bCs/>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pPr>
      <w:spacing w:line="264" w:lineRule="auto"/>
    </w:pPr>
    <w:rPr>
      <w:rFonts w:ascii="Arial" w:eastAsia="Arial" w:hAnsi="Arial" w:cs="Arial"/>
      <w:sz w:val="22"/>
      <w:szCs w:val="22"/>
    </w:rPr>
  </w:style>
  <w:style w:type="paragraph" w:customStyle="1" w:styleId="Other0">
    <w:name w:val="Other"/>
    <w:basedOn w:val="Normal"/>
    <w:link w:val="Other"/>
    <w:pPr>
      <w:spacing w:line="259" w:lineRule="auto"/>
      <w:ind w:firstLine="20"/>
    </w:pPr>
    <w:rPr>
      <w:rFonts w:ascii="Arial" w:eastAsia="Arial" w:hAnsi="Arial" w:cs="Arial"/>
      <w:sz w:val="22"/>
      <w:szCs w:val="22"/>
    </w:rPr>
  </w:style>
  <w:style w:type="paragraph" w:styleId="ListParagraph">
    <w:name w:val="List Paragraph"/>
    <w:basedOn w:val="Normal"/>
    <w:uiPriority w:val="34"/>
    <w:qFormat/>
    <w:rsid w:val="00D12CF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o8OChWQep0kWaDQhIEGsVjoQQ==">CgMxLjA4AHIhMVZ0dHhYd1NsbWx0OUtjTjRCMENpOEk0aWI4cFlPTW80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3099</Words>
  <Characters>17666</Characters>
  <Application>Microsoft Office Word</Application>
  <DocSecurity>0</DocSecurity>
  <Lines>147</Lines>
  <Paragraphs>41</Paragraphs>
  <ScaleCrop>false</ScaleCrop>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2024-02-02T07:11:00Z</dcterms:created>
  <dcterms:modified xsi:type="dcterms:W3CDTF">2024-02-06T08:48:00Z</dcterms:modified>
</cp:coreProperties>
</file>