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8EF7860" w:rsidR="00F01196" w:rsidRPr="002410C3" w:rsidRDefault="00B80A4C" w:rsidP="00B80A4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2410C3">
        <w:rPr>
          <w:rFonts w:ascii="Arial" w:hAnsi="Arial" w:cs="Arial"/>
          <w:b/>
          <w:bCs/>
          <w:color w:val="010000"/>
          <w:sz w:val="20"/>
        </w:rPr>
        <w:t>VND122013:</w:t>
      </w:r>
      <w:r w:rsidRPr="002410C3">
        <w:rPr>
          <w:rFonts w:ascii="Arial" w:hAnsi="Arial" w:cs="Arial"/>
          <w:b/>
          <w:color w:val="010000"/>
          <w:sz w:val="20"/>
        </w:rPr>
        <w:t xml:space="preserve"> </w:t>
      </w:r>
      <w:r w:rsidR="002410C3" w:rsidRPr="002410C3">
        <w:rPr>
          <w:rFonts w:ascii="Arial" w:hAnsi="Arial" w:cs="Arial"/>
          <w:b/>
          <w:color w:val="010000"/>
          <w:sz w:val="20"/>
        </w:rPr>
        <w:t>Notice</w:t>
      </w:r>
      <w:r w:rsidRPr="002410C3">
        <w:rPr>
          <w:rFonts w:ascii="Arial" w:hAnsi="Arial" w:cs="Arial"/>
          <w:b/>
          <w:color w:val="010000"/>
          <w:sz w:val="20"/>
        </w:rPr>
        <w:t xml:space="preserve"> on the record date to exercise the rights to receive</w:t>
      </w:r>
      <w:r w:rsidR="002410C3" w:rsidRPr="002410C3">
        <w:rPr>
          <w:rFonts w:ascii="Arial" w:hAnsi="Arial" w:cs="Arial"/>
          <w:b/>
          <w:color w:val="010000"/>
          <w:sz w:val="20"/>
        </w:rPr>
        <w:t xml:space="preserve"> bond</w:t>
      </w:r>
      <w:r w:rsidRPr="002410C3">
        <w:rPr>
          <w:rFonts w:ascii="Arial" w:hAnsi="Arial" w:cs="Arial"/>
          <w:b/>
          <w:color w:val="010000"/>
          <w:sz w:val="20"/>
        </w:rPr>
        <w:t xml:space="preserve"> interest </w:t>
      </w:r>
    </w:p>
    <w:p w14:paraId="00000002" w14:textId="77777777" w:rsidR="00F01196" w:rsidRPr="002410C3" w:rsidRDefault="00B80A4C" w:rsidP="00B80A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On January 31, 2024, VNDIRECT Securities Corporation announced Notice No. 76/2024/VNDIRECT on the record date to exercise the rights to receive interest payment for bonds of VNDIRECT Securities Corporation - Code VND122014 as follows:</w:t>
      </w:r>
    </w:p>
    <w:p w14:paraId="00000003" w14:textId="77777777" w:rsidR="00F01196" w:rsidRPr="00981DEB" w:rsidRDefault="00B80A4C" w:rsidP="00981DEB">
      <w:pPr>
        <w:pStyle w:val="ListParagraph"/>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81DEB">
        <w:rPr>
          <w:rFonts w:ascii="Arial" w:hAnsi="Arial" w:cs="Arial"/>
          <w:color w:val="010000"/>
          <w:sz w:val="20"/>
        </w:rPr>
        <w:t>Securities name: Bonds of VNDIRECT Securities Corporation</w:t>
      </w:r>
    </w:p>
    <w:p w14:paraId="00000004" w14:textId="77777777" w:rsidR="00F01196" w:rsidRPr="00981DEB" w:rsidRDefault="00B80A4C" w:rsidP="00981DEB">
      <w:pPr>
        <w:pStyle w:val="ListParagraph"/>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81DEB">
        <w:rPr>
          <w:rFonts w:ascii="Arial" w:hAnsi="Arial" w:cs="Arial"/>
          <w:color w:val="010000"/>
          <w:sz w:val="20"/>
        </w:rPr>
        <w:t xml:space="preserve">Securities code: VND122014 </w:t>
      </w:r>
      <w:bookmarkStart w:id="0" w:name="_GoBack"/>
      <w:bookmarkEnd w:id="0"/>
    </w:p>
    <w:p w14:paraId="00000005" w14:textId="77777777" w:rsidR="00F01196" w:rsidRPr="00981DEB" w:rsidRDefault="00B80A4C" w:rsidP="00981DEB">
      <w:pPr>
        <w:pStyle w:val="ListParagraph"/>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81DEB">
        <w:rPr>
          <w:rFonts w:ascii="Arial" w:hAnsi="Arial" w:cs="Arial"/>
          <w:color w:val="010000"/>
          <w:sz w:val="20"/>
        </w:rPr>
        <w:t xml:space="preserve">Securities type: Corporate bond </w:t>
      </w:r>
    </w:p>
    <w:p w14:paraId="00000006" w14:textId="77777777" w:rsidR="00F01196" w:rsidRPr="00981DEB" w:rsidRDefault="00B80A4C" w:rsidP="00981DEB">
      <w:pPr>
        <w:pStyle w:val="ListParagraph"/>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81DEB">
        <w:rPr>
          <w:rFonts w:ascii="Arial" w:hAnsi="Arial" w:cs="Arial"/>
          <w:color w:val="010000"/>
          <w:sz w:val="20"/>
        </w:rPr>
        <w:t xml:space="preserve">Transaction par value: VND 100.000/bond </w:t>
      </w:r>
    </w:p>
    <w:p w14:paraId="00000007" w14:textId="77777777" w:rsidR="00F01196" w:rsidRPr="00981DEB" w:rsidRDefault="00B80A4C" w:rsidP="00981DEB">
      <w:pPr>
        <w:pStyle w:val="ListParagraph"/>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81DEB">
        <w:rPr>
          <w:rFonts w:ascii="Arial" w:hAnsi="Arial" w:cs="Arial"/>
          <w:color w:val="010000"/>
          <w:sz w:val="20"/>
        </w:rPr>
        <w:t>Exchange: HNX</w:t>
      </w:r>
    </w:p>
    <w:p w14:paraId="00000008" w14:textId="5B402EAF" w:rsidR="00F01196" w:rsidRPr="00981DEB" w:rsidRDefault="00B80A4C" w:rsidP="00981DEB">
      <w:pPr>
        <w:pStyle w:val="ListParagraph"/>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81DEB">
        <w:rPr>
          <w:rFonts w:ascii="Arial" w:hAnsi="Arial" w:cs="Arial"/>
          <w:color w:val="010000"/>
          <w:sz w:val="20"/>
        </w:rPr>
        <w:t>Record date: February 27, 2024</w:t>
      </w:r>
    </w:p>
    <w:p w14:paraId="00000009" w14:textId="77777777" w:rsidR="00F01196" w:rsidRPr="002410C3" w:rsidRDefault="00B80A4C" w:rsidP="00B80A4C">
      <w:pPr>
        <w:keepNext/>
        <w:numPr>
          <w:ilvl w:val="0"/>
          <w:numId w:val="5"/>
        </w:numPr>
        <w:pBdr>
          <w:top w:val="nil"/>
          <w:left w:val="nil"/>
          <w:bottom w:val="nil"/>
          <w:right w:val="nil"/>
          <w:between w:val="nil"/>
        </w:pBdr>
        <w:tabs>
          <w:tab w:val="left" w:pos="432"/>
          <w:tab w:val="left" w:pos="1420"/>
        </w:tabs>
        <w:spacing w:after="120" w:line="360" w:lineRule="auto"/>
        <w:rPr>
          <w:rFonts w:ascii="Arial" w:eastAsia="Arial" w:hAnsi="Arial" w:cs="Arial"/>
          <w:color w:val="010000"/>
          <w:sz w:val="20"/>
          <w:szCs w:val="20"/>
        </w:rPr>
      </w:pPr>
      <w:r w:rsidRPr="002410C3">
        <w:rPr>
          <w:rFonts w:ascii="Arial" w:hAnsi="Arial" w:cs="Arial"/>
          <w:color w:val="010000"/>
          <w:sz w:val="20"/>
        </w:rPr>
        <w:t>Reason and purpose:</w:t>
      </w:r>
    </w:p>
    <w:p w14:paraId="0000000A" w14:textId="77777777" w:rsidR="00F01196" w:rsidRPr="002410C3" w:rsidRDefault="00B80A4C" w:rsidP="00B80A4C">
      <w:pPr>
        <w:numPr>
          <w:ilvl w:val="0"/>
          <w:numId w:val="6"/>
        </w:numPr>
        <w:pBdr>
          <w:top w:val="nil"/>
          <w:left w:val="nil"/>
          <w:bottom w:val="nil"/>
          <w:right w:val="nil"/>
          <w:between w:val="nil"/>
        </w:pBdr>
        <w:tabs>
          <w:tab w:val="left" w:pos="432"/>
          <w:tab w:val="left" w:pos="1301"/>
        </w:tabs>
        <w:spacing w:after="120" w:line="360" w:lineRule="auto"/>
        <w:rPr>
          <w:rFonts w:ascii="Arial" w:eastAsia="Arial" w:hAnsi="Arial" w:cs="Arial"/>
          <w:color w:val="010000"/>
          <w:sz w:val="20"/>
          <w:szCs w:val="20"/>
        </w:rPr>
      </w:pPr>
      <w:r w:rsidRPr="002410C3">
        <w:rPr>
          <w:rFonts w:ascii="Arial" w:hAnsi="Arial" w:cs="Arial"/>
          <w:color w:val="010000"/>
          <w:sz w:val="20"/>
        </w:rPr>
        <w:t>Payment of bond interest (bond code: VND122014) for term 2 (from October 07, 2023 to but not including October 07, 2024.)</w:t>
      </w:r>
    </w:p>
    <w:p w14:paraId="0000000B" w14:textId="77777777" w:rsidR="00F01196" w:rsidRPr="002410C3" w:rsidRDefault="00B80A4C" w:rsidP="00B80A4C">
      <w:pPr>
        <w:keepNext/>
        <w:numPr>
          <w:ilvl w:val="0"/>
          <w:numId w:val="5"/>
        </w:numPr>
        <w:pBdr>
          <w:top w:val="nil"/>
          <w:left w:val="nil"/>
          <w:bottom w:val="nil"/>
          <w:right w:val="nil"/>
          <w:between w:val="nil"/>
        </w:pBdr>
        <w:tabs>
          <w:tab w:val="left" w:pos="432"/>
          <w:tab w:val="left" w:pos="1446"/>
        </w:tabs>
        <w:spacing w:after="120" w:line="360" w:lineRule="auto"/>
        <w:rPr>
          <w:rFonts w:ascii="Arial" w:eastAsia="Arial" w:hAnsi="Arial" w:cs="Arial"/>
          <w:color w:val="010000"/>
          <w:sz w:val="20"/>
          <w:szCs w:val="20"/>
        </w:rPr>
      </w:pPr>
      <w:r w:rsidRPr="002410C3">
        <w:rPr>
          <w:rFonts w:ascii="Arial" w:hAnsi="Arial" w:cs="Arial"/>
          <w:color w:val="010000"/>
          <w:sz w:val="20"/>
        </w:rPr>
        <w:t>Specific content:</w:t>
      </w:r>
    </w:p>
    <w:p w14:paraId="0000000C" w14:textId="77777777" w:rsidR="00F01196" w:rsidRPr="002410C3" w:rsidRDefault="00B80A4C" w:rsidP="00B80A4C">
      <w:pPr>
        <w:numPr>
          <w:ilvl w:val="0"/>
          <w:numId w:val="6"/>
        </w:numPr>
        <w:pBdr>
          <w:top w:val="nil"/>
          <w:left w:val="nil"/>
          <w:bottom w:val="nil"/>
          <w:right w:val="nil"/>
          <w:between w:val="nil"/>
        </w:pBdr>
        <w:tabs>
          <w:tab w:val="left" w:pos="432"/>
          <w:tab w:val="left" w:pos="1341"/>
        </w:tabs>
        <w:spacing w:after="120" w:line="360" w:lineRule="auto"/>
        <w:rPr>
          <w:rFonts w:ascii="Arial" w:eastAsia="Arial" w:hAnsi="Arial" w:cs="Arial"/>
          <w:color w:val="010000"/>
          <w:sz w:val="20"/>
          <w:szCs w:val="20"/>
        </w:rPr>
      </w:pPr>
      <w:r w:rsidRPr="002410C3">
        <w:rPr>
          <w:rFonts w:ascii="Arial" w:hAnsi="Arial" w:cs="Arial"/>
          <w:color w:val="010000"/>
          <w:sz w:val="20"/>
        </w:rPr>
        <w:t>Interest rate: 10.2%/year.</w:t>
      </w:r>
    </w:p>
    <w:p w14:paraId="0000000D" w14:textId="77777777" w:rsidR="00F01196" w:rsidRPr="002410C3" w:rsidRDefault="00B80A4C" w:rsidP="00B80A4C">
      <w:pPr>
        <w:numPr>
          <w:ilvl w:val="0"/>
          <w:numId w:val="6"/>
        </w:numPr>
        <w:pBdr>
          <w:top w:val="nil"/>
          <w:left w:val="nil"/>
          <w:bottom w:val="nil"/>
          <w:right w:val="nil"/>
          <w:between w:val="nil"/>
        </w:pBdr>
        <w:tabs>
          <w:tab w:val="left" w:pos="432"/>
          <w:tab w:val="left" w:pos="1301"/>
        </w:tabs>
        <w:spacing w:after="120" w:line="360" w:lineRule="auto"/>
        <w:rPr>
          <w:rFonts w:ascii="Arial" w:eastAsia="Arial" w:hAnsi="Arial" w:cs="Arial"/>
          <w:color w:val="010000"/>
          <w:sz w:val="20"/>
          <w:szCs w:val="20"/>
        </w:rPr>
      </w:pPr>
      <w:r w:rsidRPr="002410C3">
        <w:rPr>
          <w:rFonts w:ascii="Arial" w:hAnsi="Arial" w:cs="Arial"/>
          <w:color w:val="010000"/>
          <w:sz w:val="20"/>
        </w:rPr>
        <w:t>Exercise rate: 01 bond will be entitled to receive the interest of (VND) 100,000 X 10.2% X 366/365 (days) = VND 10,227.945, rounded to 3 decimal places.</w:t>
      </w:r>
    </w:p>
    <w:p w14:paraId="0000000E" w14:textId="77777777" w:rsidR="00F01196" w:rsidRPr="002410C3" w:rsidRDefault="00B80A4C" w:rsidP="00B80A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0000000F" w14:textId="77777777" w:rsidR="00F01196" w:rsidRPr="002410C3" w:rsidRDefault="00B80A4C" w:rsidP="00B80A4C">
      <w:pPr>
        <w:numPr>
          <w:ilvl w:val="0"/>
          <w:numId w:val="6"/>
        </w:numPr>
        <w:pBdr>
          <w:top w:val="nil"/>
          <w:left w:val="nil"/>
          <w:bottom w:val="nil"/>
          <w:right w:val="nil"/>
          <w:between w:val="nil"/>
        </w:pBdr>
        <w:tabs>
          <w:tab w:val="left" w:pos="432"/>
          <w:tab w:val="left" w:pos="1305"/>
        </w:tabs>
        <w:spacing w:after="120" w:line="360" w:lineRule="auto"/>
        <w:rPr>
          <w:rFonts w:ascii="Arial" w:eastAsia="Arial" w:hAnsi="Arial" w:cs="Arial"/>
          <w:color w:val="010000"/>
          <w:sz w:val="20"/>
          <w:szCs w:val="20"/>
        </w:rPr>
      </w:pPr>
      <w:r w:rsidRPr="002410C3">
        <w:rPr>
          <w:rFonts w:ascii="Arial" w:hAnsi="Arial" w:cs="Arial"/>
          <w:color w:val="010000"/>
          <w:sz w:val="20"/>
        </w:rPr>
        <w:t>Payment date: March 07, 2024</w:t>
      </w:r>
    </w:p>
    <w:p w14:paraId="00000010" w14:textId="77777777" w:rsidR="00F01196" w:rsidRPr="002410C3" w:rsidRDefault="00B80A4C" w:rsidP="00B80A4C">
      <w:pPr>
        <w:numPr>
          <w:ilvl w:val="0"/>
          <w:numId w:val="6"/>
        </w:numPr>
        <w:pBdr>
          <w:top w:val="nil"/>
          <w:left w:val="nil"/>
          <w:bottom w:val="nil"/>
          <w:right w:val="nil"/>
          <w:between w:val="nil"/>
        </w:pBdr>
        <w:tabs>
          <w:tab w:val="left" w:pos="432"/>
          <w:tab w:val="left" w:pos="1305"/>
        </w:tabs>
        <w:spacing w:after="120" w:line="360" w:lineRule="auto"/>
        <w:rPr>
          <w:rFonts w:ascii="Arial" w:eastAsia="Arial" w:hAnsi="Arial" w:cs="Arial"/>
          <w:color w:val="010000"/>
          <w:sz w:val="20"/>
          <w:szCs w:val="20"/>
        </w:rPr>
      </w:pPr>
      <w:r w:rsidRPr="002410C3">
        <w:rPr>
          <w:rFonts w:ascii="Arial" w:hAnsi="Arial" w:cs="Arial"/>
          <w:color w:val="010000"/>
          <w:sz w:val="20"/>
        </w:rPr>
        <w:t>Venue:</w:t>
      </w:r>
    </w:p>
    <w:p w14:paraId="00000011" w14:textId="77777777" w:rsidR="00F01196" w:rsidRPr="002410C3" w:rsidRDefault="00B80A4C" w:rsidP="00B80A4C">
      <w:pPr>
        <w:numPr>
          <w:ilvl w:val="0"/>
          <w:numId w:val="2"/>
        </w:numPr>
        <w:pBdr>
          <w:top w:val="nil"/>
          <w:left w:val="nil"/>
          <w:bottom w:val="nil"/>
          <w:right w:val="nil"/>
          <w:between w:val="nil"/>
        </w:pBdr>
        <w:tabs>
          <w:tab w:val="left" w:pos="432"/>
          <w:tab w:val="left" w:pos="1305"/>
        </w:tabs>
        <w:spacing w:after="120" w:line="360" w:lineRule="auto"/>
        <w:ind w:left="0" w:firstLine="0"/>
        <w:rPr>
          <w:rFonts w:ascii="Arial" w:eastAsia="Arial" w:hAnsi="Arial" w:cs="Arial"/>
          <w:color w:val="010000"/>
          <w:sz w:val="20"/>
          <w:szCs w:val="20"/>
        </w:rPr>
      </w:pPr>
      <w:r w:rsidRPr="002410C3">
        <w:rPr>
          <w:rFonts w:ascii="Arial" w:hAnsi="Arial" w:cs="Arial"/>
          <w:color w:val="010000"/>
          <w:sz w:val="20"/>
        </w:rPr>
        <w:t>For deposited securities: Owners carry out procedures to receive interest on corporate bonds at depository members where depository accounts are opened.</w:t>
      </w:r>
    </w:p>
    <w:p w14:paraId="00000012" w14:textId="77777777" w:rsidR="00F01196" w:rsidRPr="002410C3" w:rsidRDefault="00B80A4C" w:rsidP="00B80A4C">
      <w:pPr>
        <w:numPr>
          <w:ilvl w:val="0"/>
          <w:numId w:val="2"/>
        </w:numPr>
        <w:pBdr>
          <w:top w:val="nil"/>
          <w:left w:val="nil"/>
          <w:bottom w:val="nil"/>
          <w:right w:val="nil"/>
          <w:between w:val="nil"/>
        </w:pBdr>
        <w:tabs>
          <w:tab w:val="left" w:pos="432"/>
          <w:tab w:val="left" w:pos="1305"/>
        </w:tabs>
        <w:spacing w:after="120" w:line="360" w:lineRule="auto"/>
        <w:ind w:left="0" w:firstLine="0"/>
        <w:rPr>
          <w:rFonts w:ascii="Arial" w:eastAsia="Arial" w:hAnsi="Arial" w:cs="Arial"/>
          <w:color w:val="010000"/>
          <w:sz w:val="20"/>
          <w:szCs w:val="20"/>
        </w:rPr>
      </w:pPr>
      <w:r w:rsidRPr="002410C3">
        <w:rPr>
          <w:rFonts w:ascii="Arial" w:hAnsi="Arial" w:cs="Arial"/>
          <w:color w:val="010000"/>
          <w:sz w:val="20"/>
        </w:rPr>
        <w:t xml:space="preserve">For </w:t>
      </w:r>
      <w:proofErr w:type="spellStart"/>
      <w:r w:rsidRPr="002410C3">
        <w:rPr>
          <w:rFonts w:ascii="Arial" w:hAnsi="Arial" w:cs="Arial"/>
          <w:color w:val="010000"/>
          <w:sz w:val="20"/>
        </w:rPr>
        <w:t>undeposited</w:t>
      </w:r>
      <w:proofErr w:type="spellEnd"/>
      <w:r w:rsidRPr="002410C3">
        <w:rPr>
          <w:rFonts w:ascii="Arial" w:hAnsi="Arial" w:cs="Arial"/>
          <w:color w:val="010000"/>
          <w:sz w:val="20"/>
        </w:rPr>
        <w:t xml:space="preserve"> securities: Owners carry out procedures to receive corporate bond interest at VNDIRECT Securities Corporation starting from October 07, 2024 and present their ID card/Citizen Identification card.</w:t>
      </w:r>
    </w:p>
    <w:p w14:paraId="402B6F61" w14:textId="5D5CBED8" w:rsidR="002410C3" w:rsidRPr="002410C3" w:rsidRDefault="002410C3" w:rsidP="00B80A4C">
      <w:pPr>
        <w:pBdr>
          <w:left w:val="nil"/>
          <w:bottom w:val="single" w:sz="6" w:space="1" w:color="auto"/>
          <w:right w:val="nil"/>
          <w:between w:val="nil"/>
        </w:pBdr>
        <w:tabs>
          <w:tab w:val="left" w:pos="432"/>
        </w:tabs>
        <w:spacing w:after="120" w:line="360" w:lineRule="auto"/>
        <w:rPr>
          <w:rFonts w:ascii="Arial" w:hAnsi="Arial" w:cs="Arial"/>
          <w:color w:val="010000"/>
          <w:sz w:val="20"/>
        </w:rPr>
      </w:pPr>
    </w:p>
    <w:p w14:paraId="00000018" w14:textId="24ADF20C" w:rsidR="00F01196" w:rsidRPr="002410C3" w:rsidRDefault="00B80A4C" w:rsidP="00B80A4C">
      <w:pPr>
        <w:pBdr>
          <w:left w:val="nil"/>
          <w:bottom w:val="nil"/>
          <w:right w:val="nil"/>
          <w:between w:val="nil"/>
        </w:pBdr>
        <w:tabs>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On January 31, 2024, VNDIRECT Securities Corporation announced Notice No. 77/2024/VNDIRECT on the record date to exercise the rights to receive payment of principal and interest on bonds of VNDIRECT Securities Corporation - Code VND122013 as follows:</w:t>
      </w:r>
    </w:p>
    <w:p w14:paraId="00000019" w14:textId="77777777" w:rsidR="00F01196" w:rsidRPr="002410C3" w:rsidRDefault="00B80A4C" w:rsidP="00B80A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Securities name: Bonds of VNDIRECT Securities Corporation</w:t>
      </w:r>
    </w:p>
    <w:p w14:paraId="0000001A" w14:textId="77777777" w:rsidR="00F01196" w:rsidRPr="002410C3" w:rsidRDefault="00B80A4C" w:rsidP="00B80A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Securities code: VND122013</w:t>
      </w:r>
    </w:p>
    <w:p w14:paraId="0000001B" w14:textId="77777777" w:rsidR="00F01196" w:rsidRPr="002410C3" w:rsidRDefault="00B80A4C" w:rsidP="00B80A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Securities type: Corporate bond</w:t>
      </w:r>
    </w:p>
    <w:p w14:paraId="0000001C" w14:textId="66B0E245" w:rsidR="00F01196" w:rsidRPr="002410C3" w:rsidRDefault="00B80A4C" w:rsidP="00B80A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lastRenderedPageBreak/>
        <w:t>Transaction par value: VND 100</w:t>
      </w:r>
      <w:r w:rsidR="002410C3" w:rsidRPr="002410C3">
        <w:rPr>
          <w:rFonts w:ascii="Arial" w:hAnsi="Arial" w:cs="Arial"/>
          <w:color w:val="010000"/>
          <w:sz w:val="20"/>
        </w:rPr>
        <w:t>,</w:t>
      </w:r>
      <w:r w:rsidRPr="002410C3">
        <w:rPr>
          <w:rFonts w:ascii="Arial" w:hAnsi="Arial" w:cs="Arial"/>
          <w:color w:val="010000"/>
          <w:sz w:val="20"/>
        </w:rPr>
        <w:t>000/bond</w:t>
      </w:r>
    </w:p>
    <w:p w14:paraId="0000001D" w14:textId="77777777" w:rsidR="00F01196" w:rsidRPr="002410C3" w:rsidRDefault="00B80A4C" w:rsidP="00B80A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Exchange: HNX</w:t>
      </w:r>
    </w:p>
    <w:p w14:paraId="0000001E" w14:textId="77777777" w:rsidR="00F01196" w:rsidRPr="002410C3" w:rsidRDefault="00B80A4C" w:rsidP="00B80A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Record date: February 27, 2024</w:t>
      </w:r>
    </w:p>
    <w:p w14:paraId="0000001F" w14:textId="77777777" w:rsidR="00F01196" w:rsidRPr="002410C3" w:rsidRDefault="00B80A4C" w:rsidP="00B80A4C">
      <w:pPr>
        <w:numPr>
          <w:ilvl w:val="0"/>
          <w:numId w:val="1"/>
        </w:numPr>
        <w:pBdr>
          <w:top w:val="nil"/>
          <w:left w:val="nil"/>
          <w:bottom w:val="nil"/>
          <w:right w:val="nil"/>
          <w:between w:val="nil"/>
        </w:pBdr>
        <w:tabs>
          <w:tab w:val="left" w:pos="340"/>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Reason and purpose:</w:t>
      </w:r>
    </w:p>
    <w:p w14:paraId="00000020" w14:textId="77777777" w:rsidR="00F01196" w:rsidRPr="002410C3" w:rsidRDefault="00B80A4C" w:rsidP="00B80A4C">
      <w:pPr>
        <w:numPr>
          <w:ilvl w:val="0"/>
          <w:numId w:val="6"/>
        </w:numPr>
        <w:pBdr>
          <w:top w:val="nil"/>
          <w:left w:val="nil"/>
          <w:bottom w:val="nil"/>
          <w:right w:val="nil"/>
          <w:between w:val="nil"/>
        </w:pBdr>
        <w:tabs>
          <w:tab w:val="left" w:pos="268"/>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Payment of principal and interest on bond code VND122013 (from March 07, 2023 to but not including March 07, 2024)</w:t>
      </w:r>
    </w:p>
    <w:p w14:paraId="00000021" w14:textId="77777777" w:rsidR="00F01196" w:rsidRPr="002410C3" w:rsidRDefault="00B80A4C" w:rsidP="00B80A4C">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Specific content:</w:t>
      </w:r>
    </w:p>
    <w:p w14:paraId="00000022" w14:textId="77777777" w:rsidR="00F01196" w:rsidRPr="002410C3" w:rsidRDefault="00B80A4C" w:rsidP="00B80A4C">
      <w:pPr>
        <w:numPr>
          <w:ilvl w:val="0"/>
          <w:numId w:val="6"/>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 xml:space="preserve">Interest rate: 10%/year </w:t>
      </w:r>
    </w:p>
    <w:p w14:paraId="00000023" w14:textId="22184F8A" w:rsidR="00F01196" w:rsidRPr="002410C3" w:rsidRDefault="00B80A4C" w:rsidP="00B80A4C">
      <w:pPr>
        <w:numPr>
          <w:ilvl w:val="0"/>
          <w:numId w:val="6"/>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Exercise rate: Receive VND 110,027.397 for each bond, specifically:</w:t>
      </w:r>
    </w:p>
    <w:p w14:paraId="00000024" w14:textId="77777777" w:rsidR="00F01196" w:rsidRPr="002410C3" w:rsidRDefault="00B80A4C" w:rsidP="00B80A4C">
      <w:pPr>
        <w:numPr>
          <w:ilvl w:val="0"/>
          <w:numId w:val="3"/>
        </w:numPr>
        <w:pBdr>
          <w:top w:val="nil"/>
          <w:left w:val="nil"/>
          <w:bottom w:val="nil"/>
          <w:right w:val="nil"/>
          <w:between w:val="nil"/>
        </w:pBdr>
        <w:tabs>
          <w:tab w:val="left" w:pos="261"/>
          <w:tab w:val="left" w:pos="432"/>
        </w:tabs>
        <w:spacing w:after="120" w:line="360" w:lineRule="auto"/>
        <w:ind w:left="0" w:firstLine="0"/>
        <w:rPr>
          <w:rFonts w:ascii="Arial" w:eastAsia="Arial" w:hAnsi="Arial" w:cs="Arial"/>
          <w:color w:val="010000"/>
          <w:sz w:val="20"/>
          <w:szCs w:val="20"/>
        </w:rPr>
      </w:pPr>
      <w:r w:rsidRPr="002410C3">
        <w:rPr>
          <w:rFonts w:ascii="Arial" w:hAnsi="Arial" w:cs="Arial"/>
          <w:color w:val="010000"/>
          <w:sz w:val="20"/>
        </w:rPr>
        <w:t>Principal = VND 100,000; and</w:t>
      </w:r>
    </w:p>
    <w:p w14:paraId="00000025" w14:textId="77777777" w:rsidR="00F01196" w:rsidRPr="002410C3" w:rsidRDefault="00B80A4C" w:rsidP="00B80A4C">
      <w:pPr>
        <w:numPr>
          <w:ilvl w:val="0"/>
          <w:numId w:val="3"/>
        </w:numPr>
        <w:pBdr>
          <w:top w:val="nil"/>
          <w:left w:val="nil"/>
          <w:bottom w:val="nil"/>
          <w:right w:val="nil"/>
          <w:between w:val="nil"/>
        </w:pBdr>
        <w:tabs>
          <w:tab w:val="left" w:pos="261"/>
          <w:tab w:val="left" w:pos="432"/>
        </w:tabs>
        <w:spacing w:after="120" w:line="360" w:lineRule="auto"/>
        <w:ind w:left="0" w:firstLine="0"/>
        <w:rPr>
          <w:rFonts w:ascii="Arial" w:eastAsia="Arial" w:hAnsi="Arial" w:cs="Arial"/>
          <w:color w:val="010000"/>
          <w:sz w:val="20"/>
          <w:szCs w:val="20"/>
        </w:rPr>
      </w:pPr>
      <w:r w:rsidRPr="002410C3">
        <w:rPr>
          <w:rFonts w:ascii="Arial" w:hAnsi="Arial" w:cs="Arial"/>
          <w:color w:val="010000"/>
          <w:sz w:val="20"/>
        </w:rPr>
        <w:t>Interest = (VND) 100,000 X 10% X 366/365 (days) = VND 10,027.397, rounded to 3 decimal places.</w:t>
      </w:r>
    </w:p>
    <w:p w14:paraId="00000026" w14:textId="77777777" w:rsidR="00F01196" w:rsidRPr="002410C3" w:rsidRDefault="00B80A4C" w:rsidP="00B80A4C">
      <w:pPr>
        <w:pBdr>
          <w:top w:val="nil"/>
          <w:left w:val="nil"/>
          <w:bottom w:val="nil"/>
          <w:right w:val="nil"/>
          <w:between w:val="nil"/>
        </w:pBdr>
        <w:tabs>
          <w:tab w:val="left" w:pos="441"/>
        </w:tabs>
        <w:spacing w:after="120" w:line="360" w:lineRule="auto"/>
        <w:rPr>
          <w:rFonts w:ascii="Arial" w:eastAsia="Arial" w:hAnsi="Arial" w:cs="Arial"/>
          <w:color w:val="010000"/>
          <w:sz w:val="20"/>
          <w:szCs w:val="20"/>
        </w:rPr>
      </w:pPr>
      <w:r w:rsidRPr="002410C3">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00000027" w14:textId="77777777" w:rsidR="00F01196" w:rsidRPr="002410C3" w:rsidRDefault="00B80A4C" w:rsidP="00B80A4C">
      <w:pPr>
        <w:numPr>
          <w:ilvl w:val="0"/>
          <w:numId w:val="6"/>
        </w:numPr>
        <w:pBdr>
          <w:top w:val="nil"/>
          <w:left w:val="nil"/>
          <w:bottom w:val="nil"/>
          <w:right w:val="nil"/>
          <w:between w:val="nil"/>
        </w:pBdr>
        <w:tabs>
          <w:tab w:val="left" w:pos="261"/>
          <w:tab w:val="left" w:pos="441"/>
        </w:tabs>
        <w:spacing w:after="120" w:line="360" w:lineRule="auto"/>
        <w:rPr>
          <w:rFonts w:ascii="Arial" w:eastAsia="Arial" w:hAnsi="Arial" w:cs="Arial"/>
          <w:color w:val="010000"/>
          <w:sz w:val="20"/>
          <w:szCs w:val="20"/>
        </w:rPr>
      </w:pPr>
      <w:r w:rsidRPr="002410C3">
        <w:rPr>
          <w:rFonts w:ascii="Arial" w:hAnsi="Arial" w:cs="Arial"/>
          <w:color w:val="010000"/>
          <w:sz w:val="20"/>
        </w:rPr>
        <w:t>Payment date: March 07, 2024</w:t>
      </w:r>
    </w:p>
    <w:p w14:paraId="00000028" w14:textId="77777777" w:rsidR="00F01196" w:rsidRPr="002410C3" w:rsidRDefault="00B80A4C" w:rsidP="00B80A4C">
      <w:pPr>
        <w:numPr>
          <w:ilvl w:val="0"/>
          <w:numId w:val="6"/>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sidRPr="002410C3">
        <w:rPr>
          <w:rFonts w:ascii="Arial" w:hAnsi="Arial" w:cs="Arial"/>
          <w:color w:val="010000"/>
          <w:sz w:val="20"/>
        </w:rPr>
        <w:t>Venue:</w:t>
      </w:r>
    </w:p>
    <w:p w14:paraId="00000029" w14:textId="77777777" w:rsidR="00F01196" w:rsidRPr="002410C3" w:rsidRDefault="00B80A4C" w:rsidP="00B80A4C">
      <w:pPr>
        <w:numPr>
          <w:ilvl w:val="0"/>
          <w:numId w:val="4"/>
        </w:numPr>
        <w:pBdr>
          <w:top w:val="nil"/>
          <w:left w:val="nil"/>
          <w:bottom w:val="nil"/>
          <w:right w:val="nil"/>
          <w:between w:val="nil"/>
        </w:pBdr>
        <w:tabs>
          <w:tab w:val="left" w:pos="261"/>
          <w:tab w:val="left" w:pos="432"/>
        </w:tabs>
        <w:spacing w:after="120" w:line="360" w:lineRule="auto"/>
        <w:ind w:left="0" w:firstLine="0"/>
        <w:rPr>
          <w:rFonts w:ascii="Arial" w:eastAsia="Arial" w:hAnsi="Arial" w:cs="Arial"/>
          <w:color w:val="010000"/>
          <w:sz w:val="20"/>
          <w:szCs w:val="20"/>
        </w:rPr>
      </w:pPr>
      <w:r w:rsidRPr="002410C3">
        <w:rPr>
          <w:rFonts w:ascii="Arial" w:hAnsi="Arial" w:cs="Arial"/>
          <w:color w:val="010000"/>
          <w:sz w:val="20"/>
        </w:rPr>
        <w:t>For deposited securities: Owners carry out procedures to receive interest on corporate bonds at depository members where depository accounts are opened.</w:t>
      </w:r>
    </w:p>
    <w:p w14:paraId="0000002A" w14:textId="77777777" w:rsidR="00F01196" w:rsidRPr="002410C3" w:rsidRDefault="00B80A4C" w:rsidP="00B80A4C">
      <w:pPr>
        <w:numPr>
          <w:ilvl w:val="0"/>
          <w:numId w:val="4"/>
        </w:numPr>
        <w:pBdr>
          <w:top w:val="nil"/>
          <w:left w:val="nil"/>
          <w:bottom w:val="nil"/>
          <w:right w:val="nil"/>
          <w:between w:val="nil"/>
        </w:pBdr>
        <w:tabs>
          <w:tab w:val="left" w:pos="261"/>
          <w:tab w:val="left" w:pos="432"/>
        </w:tabs>
        <w:spacing w:after="120" w:line="360" w:lineRule="auto"/>
        <w:ind w:left="0" w:firstLine="0"/>
        <w:rPr>
          <w:rFonts w:ascii="Arial" w:eastAsia="Arial" w:hAnsi="Arial" w:cs="Arial"/>
          <w:color w:val="010000"/>
          <w:sz w:val="20"/>
          <w:szCs w:val="20"/>
        </w:rPr>
      </w:pPr>
      <w:r w:rsidRPr="002410C3">
        <w:rPr>
          <w:rFonts w:ascii="Arial" w:hAnsi="Arial" w:cs="Arial"/>
          <w:color w:val="010000"/>
          <w:sz w:val="20"/>
        </w:rPr>
        <w:t xml:space="preserve">For </w:t>
      </w:r>
      <w:proofErr w:type="spellStart"/>
      <w:r w:rsidRPr="002410C3">
        <w:rPr>
          <w:rFonts w:ascii="Arial" w:hAnsi="Arial" w:cs="Arial"/>
          <w:color w:val="010000"/>
          <w:sz w:val="20"/>
        </w:rPr>
        <w:t>undeposited</w:t>
      </w:r>
      <w:proofErr w:type="spellEnd"/>
      <w:r w:rsidRPr="002410C3">
        <w:rPr>
          <w:rFonts w:ascii="Arial" w:hAnsi="Arial" w:cs="Arial"/>
          <w:color w:val="010000"/>
          <w:sz w:val="20"/>
        </w:rPr>
        <w:t xml:space="preserve"> securities: Owners carry out procedures to receive corporate bond interest at VNDIRECT Securities Corporation starting from October 07, 2024 and present their ID card/Citizen Identification card.</w:t>
      </w:r>
    </w:p>
    <w:sectPr w:rsidR="00F01196" w:rsidRPr="002410C3" w:rsidSect="00B80A4C">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7B2E"/>
    <w:multiLevelType w:val="multilevel"/>
    <w:tmpl w:val="A3A22ED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6A662E"/>
    <w:multiLevelType w:val="hybridMultilevel"/>
    <w:tmpl w:val="6B18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570EB"/>
    <w:multiLevelType w:val="multilevel"/>
    <w:tmpl w:val="8DE0599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0C61E8"/>
    <w:multiLevelType w:val="multilevel"/>
    <w:tmpl w:val="BE1260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6750F8C"/>
    <w:multiLevelType w:val="multilevel"/>
    <w:tmpl w:val="35CC2A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84A50D3"/>
    <w:multiLevelType w:val="multilevel"/>
    <w:tmpl w:val="F0F2F6A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DBB558D"/>
    <w:multiLevelType w:val="multilevel"/>
    <w:tmpl w:val="2B14087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96"/>
    <w:rsid w:val="002410C3"/>
    <w:rsid w:val="00981DEB"/>
    <w:rsid w:val="00B80A4C"/>
    <w:rsid w:val="00F0119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29128"/>
  <w15:docId w15:val="{D866647A-3B80-4600-9D7B-5EB96CE4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30"/>
      <w:szCs w:val="3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ahoma" w:eastAsia="Tahoma" w:hAnsi="Tahoma" w:cs="Tahoma"/>
      <w:b/>
      <w:bCs/>
      <w:i w:val="0"/>
      <w:iCs w:val="0"/>
      <w:smallCaps w:val="0"/>
      <w:strike w:val="0"/>
      <w:color w:val="B93148"/>
      <w:w w:val="70"/>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5">
    <w:name w:val="Văn bản nội dung (5)_"/>
    <w:basedOn w:val="DefaultParagraphFont"/>
    <w:link w:val="Vnbnnidung50"/>
    <w:rPr>
      <w:rFonts w:ascii="Cambria" w:eastAsia="Cambria" w:hAnsi="Cambria" w:cs="Cambria"/>
      <w:b w:val="0"/>
      <w:bCs w:val="0"/>
      <w:i w:val="0"/>
      <w:iCs w:val="0"/>
      <w:smallCaps w:val="0"/>
      <w:strike w:val="0"/>
      <w:color w:val="B93148"/>
      <w:w w:val="8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iCs/>
      <w:smallCaps w:val="0"/>
      <w:strike w:val="0"/>
      <w:color w:val="B93148"/>
      <w:sz w:val="32"/>
      <w:szCs w:val="32"/>
      <w:u w:val="none"/>
      <w:shd w:val="clear" w:color="auto" w:fill="auto"/>
    </w:rPr>
  </w:style>
  <w:style w:type="paragraph" w:customStyle="1" w:styleId="Vnbnnidung60">
    <w:name w:val="Văn bản nội dung (6)"/>
    <w:basedOn w:val="Normal"/>
    <w:link w:val="Vnbnnidung6"/>
    <w:rPr>
      <w:rFonts w:ascii="Arial" w:eastAsia="Arial" w:hAnsi="Arial" w:cs="Arial"/>
      <w:sz w:val="30"/>
      <w:szCs w:val="30"/>
    </w:rPr>
  </w:style>
  <w:style w:type="paragraph" w:customStyle="1" w:styleId="Vnbnnidung0">
    <w:name w:val="Văn bản nội dung"/>
    <w:basedOn w:val="Normal"/>
    <w:link w:val="Vnbnnidung"/>
    <w:pPr>
      <w:spacing w:line="298" w:lineRule="auto"/>
      <w:ind w:firstLine="40"/>
    </w:pPr>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Tahoma" w:eastAsia="Tahoma" w:hAnsi="Tahoma" w:cs="Tahoma"/>
      <w:b/>
      <w:bCs/>
      <w:color w:val="B93148"/>
      <w:w w:val="70"/>
      <w:sz w:val="19"/>
      <w:szCs w:val="19"/>
    </w:rPr>
  </w:style>
  <w:style w:type="paragraph" w:customStyle="1" w:styleId="Vnbnnidung40">
    <w:name w:val="Văn bản nội dung (4)"/>
    <w:basedOn w:val="Normal"/>
    <w:link w:val="Vnbnnidung4"/>
    <w:pPr>
      <w:spacing w:line="235" w:lineRule="auto"/>
    </w:pPr>
    <w:rPr>
      <w:rFonts w:ascii="Arial" w:eastAsia="Arial" w:hAnsi="Arial" w:cs="Arial"/>
    </w:rPr>
  </w:style>
  <w:style w:type="paragraph" w:customStyle="1" w:styleId="Vnbnnidung20">
    <w:name w:val="Văn bản nội dung (2)"/>
    <w:basedOn w:val="Normal"/>
    <w:link w:val="Vnbnnidung2"/>
    <w:pPr>
      <w:spacing w:line="180" w:lineRule="auto"/>
    </w:pPr>
    <w:rPr>
      <w:rFonts w:ascii="Arial" w:eastAsia="Arial" w:hAnsi="Arial" w:cs="Arial"/>
      <w:b/>
      <w:bCs/>
      <w:sz w:val="8"/>
      <w:szCs w:val="8"/>
    </w:rPr>
  </w:style>
  <w:style w:type="paragraph" w:customStyle="1" w:styleId="Vnbnnidung50">
    <w:name w:val="Văn bản nội dung (5)"/>
    <w:basedOn w:val="Normal"/>
    <w:link w:val="Vnbnnidung5"/>
    <w:pPr>
      <w:spacing w:line="209" w:lineRule="auto"/>
      <w:jc w:val="right"/>
    </w:pPr>
    <w:rPr>
      <w:rFonts w:ascii="Cambria" w:eastAsia="Cambria" w:hAnsi="Cambria" w:cs="Cambria"/>
      <w:color w:val="B93148"/>
      <w:w w:val="80"/>
      <w:sz w:val="28"/>
      <w:szCs w:val="28"/>
    </w:rPr>
  </w:style>
  <w:style w:type="paragraph" w:customStyle="1" w:styleId="Tiu20">
    <w:name w:val="Tiêu đề #2"/>
    <w:basedOn w:val="Normal"/>
    <w:link w:val="Tiu2"/>
    <w:pPr>
      <w:spacing w:line="298" w:lineRule="auto"/>
      <w:ind w:left="1040" w:firstLine="40"/>
      <w:outlineLvl w:val="1"/>
    </w:pPr>
    <w:rPr>
      <w:rFonts w:ascii="Times New Roman" w:eastAsia="Times New Roman" w:hAnsi="Times New Roman" w:cs="Times New Roman"/>
      <w:b/>
      <w:bCs/>
    </w:rPr>
  </w:style>
  <w:style w:type="paragraph" w:customStyle="1" w:styleId="Tiu10">
    <w:name w:val="Tiêu đề #1"/>
    <w:basedOn w:val="Normal"/>
    <w:link w:val="Tiu1"/>
    <w:pPr>
      <w:spacing w:line="310" w:lineRule="auto"/>
      <w:ind w:left="4800"/>
      <w:outlineLvl w:val="0"/>
    </w:pPr>
    <w:rPr>
      <w:rFonts w:ascii="Times New Roman" w:eastAsia="Times New Roman" w:hAnsi="Times New Roman" w:cs="Times New Roman"/>
      <w:i/>
      <w:iCs/>
      <w:color w:val="B93148"/>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8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H2kSBWz0W7SXLOvYuuou7iq3ww==">CgMxLjA4AHIhMXlTQ2N1VFBNOG1CQ1cwQjhYcEpOS0tSak1ONUNwa1Iy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2024-02-05T05:57:00Z</dcterms:created>
  <dcterms:modified xsi:type="dcterms:W3CDTF">2024-02-06T08:49:00Z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80f90cd9bfdb633f333abd4dbc441e9a0bb349c98a6d2c70adf13f9a70191ee9</vt:lpwstr>
  </property>
</Properties>
</file>