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462A7" w:rsidRPr="001C2A08" w:rsidRDefault="00AF6832" w:rsidP="00AF683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sidRPr="001C2A08">
        <w:rPr>
          <w:rFonts w:ascii="Arial" w:hAnsi="Arial" w:cs="Arial"/>
          <w:b/>
          <w:color w:val="010000"/>
          <w:sz w:val="20"/>
        </w:rPr>
        <w:t>BGW</w:t>
      </w:r>
      <w:proofErr w:type="spellEnd"/>
      <w:r w:rsidRPr="001C2A08">
        <w:rPr>
          <w:rFonts w:ascii="Arial" w:hAnsi="Arial" w:cs="Arial"/>
          <w:b/>
          <w:color w:val="010000"/>
          <w:sz w:val="20"/>
        </w:rPr>
        <w:t>: Board Resolution</w:t>
      </w:r>
    </w:p>
    <w:p w14:paraId="00000002" w14:textId="77777777" w:rsidR="006462A7" w:rsidRPr="001C2A08" w:rsidRDefault="00AF6832" w:rsidP="00AF6832">
      <w:pPr>
        <w:pBdr>
          <w:top w:val="nil"/>
          <w:left w:val="nil"/>
          <w:bottom w:val="nil"/>
          <w:right w:val="nil"/>
          <w:between w:val="nil"/>
        </w:pBdr>
        <w:spacing w:after="120" w:line="360" w:lineRule="auto"/>
        <w:jc w:val="both"/>
        <w:rPr>
          <w:rFonts w:ascii="Arial" w:eastAsia="Arial" w:hAnsi="Arial" w:cs="Arial"/>
          <w:color w:val="010000"/>
          <w:sz w:val="20"/>
          <w:szCs w:val="20"/>
        </w:rPr>
      </w:pPr>
      <w:r w:rsidRPr="001C2A08">
        <w:rPr>
          <w:rFonts w:ascii="Arial" w:hAnsi="Arial" w:cs="Arial"/>
          <w:color w:val="010000"/>
          <w:sz w:val="20"/>
        </w:rPr>
        <w:t xml:space="preserve">On February 5, 2024, </w:t>
      </w:r>
      <w:proofErr w:type="spellStart"/>
      <w:proofErr w:type="gramStart"/>
      <w:r w:rsidRPr="001C2A08">
        <w:rPr>
          <w:rFonts w:ascii="Arial" w:hAnsi="Arial" w:cs="Arial"/>
          <w:color w:val="010000"/>
          <w:sz w:val="20"/>
        </w:rPr>
        <w:t>Bac</w:t>
      </w:r>
      <w:proofErr w:type="spellEnd"/>
      <w:proofErr w:type="gramEnd"/>
      <w:r w:rsidRPr="001C2A08">
        <w:rPr>
          <w:rFonts w:ascii="Arial" w:hAnsi="Arial" w:cs="Arial"/>
          <w:color w:val="010000"/>
          <w:sz w:val="20"/>
        </w:rPr>
        <w:t xml:space="preserve"> Giang Clean Water Joint Stock Company announced Resolution No. 05/NQ-</w:t>
      </w:r>
      <w:proofErr w:type="spellStart"/>
      <w:r w:rsidRPr="001C2A08">
        <w:rPr>
          <w:rFonts w:ascii="Arial" w:hAnsi="Arial" w:cs="Arial"/>
          <w:color w:val="010000"/>
          <w:sz w:val="20"/>
        </w:rPr>
        <w:t>HDQT</w:t>
      </w:r>
      <w:proofErr w:type="spellEnd"/>
      <w:r w:rsidRPr="001C2A08">
        <w:rPr>
          <w:rFonts w:ascii="Arial" w:hAnsi="Arial" w:cs="Arial"/>
          <w:color w:val="010000"/>
          <w:sz w:val="20"/>
        </w:rPr>
        <w:t>-</w:t>
      </w:r>
      <w:proofErr w:type="spellStart"/>
      <w:r w:rsidRPr="001C2A08">
        <w:rPr>
          <w:rFonts w:ascii="Arial" w:hAnsi="Arial" w:cs="Arial"/>
          <w:color w:val="010000"/>
          <w:sz w:val="20"/>
        </w:rPr>
        <w:t>NSBG</w:t>
      </w:r>
      <w:proofErr w:type="spellEnd"/>
      <w:r w:rsidRPr="001C2A08">
        <w:rPr>
          <w:rFonts w:ascii="Arial" w:hAnsi="Arial" w:cs="Arial"/>
          <w:color w:val="010000"/>
          <w:sz w:val="20"/>
        </w:rPr>
        <w:t xml:space="preserve"> as follows:</w:t>
      </w:r>
    </w:p>
    <w:p w14:paraId="00000003" w14:textId="77777777" w:rsidR="006462A7" w:rsidRPr="001C2A08" w:rsidRDefault="00AF6832" w:rsidP="00AF6832">
      <w:pPr>
        <w:pBdr>
          <w:top w:val="nil"/>
          <w:left w:val="nil"/>
          <w:bottom w:val="nil"/>
          <w:right w:val="nil"/>
          <w:between w:val="nil"/>
        </w:pBdr>
        <w:spacing w:after="120" w:line="360" w:lineRule="auto"/>
        <w:jc w:val="both"/>
        <w:rPr>
          <w:rFonts w:ascii="Arial" w:eastAsia="Arial" w:hAnsi="Arial" w:cs="Arial"/>
          <w:color w:val="010000"/>
          <w:sz w:val="20"/>
          <w:szCs w:val="20"/>
        </w:rPr>
      </w:pPr>
      <w:r w:rsidRPr="001C2A08">
        <w:rPr>
          <w:rFonts w:ascii="Arial" w:hAnsi="Arial" w:cs="Arial"/>
          <w:color w:val="010000"/>
          <w:sz w:val="20"/>
        </w:rPr>
        <w:t xml:space="preserve">‎‎Article 1. Approve the plan to organize the Annual General Meeting of Shareholders 2024 of </w:t>
      </w:r>
      <w:proofErr w:type="spellStart"/>
      <w:proofErr w:type="gramStart"/>
      <w:r w:rsidRPr="001C2A08">
        <w:rPr>
          <w:rFonts w:ascii="Arial" w:hAnsi="Arial" w:cs="Arial"/>
          <w:color w:val="010000"/>
          <w:sz w:val="20"/>
        </w:rPr>
        <w:t>Bac</w:t>
      </w:r>
      <w:proofErr w:type="spellEnd"/>
      <w:proofErr w:type="gramEnd"/>
      <w:r w:rsidRPr="001C2A08">
        <w:rPr>
          <w:rFonts w:ascii="Arial" w:hAnsi="Arial" w:cs="Arial"/>
          <w:color w:val="010000"/>
          <w:sz w:val="20"/>
        </w:rPr>
        <w:t xml:space="preserve"> Giang Clean Water Joint Stock Company with the following contents:</w:t>
      </w:r>
    </w:p>
    <w:p w14:paraId="00000004" w14:textId="77777777" w:rsidR="006462A7" w:rsidRPr="001C2A08" w:rsidRDefault="00AF6832" w:rsidP="00AF6832">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2A08">
        <w:rPr>
          <w:rFonts w:ascii="Arial" w:hAnsi="Arial" w:cs="Arial"/>
          <w:color w:val="010000"/>
          <w:sz w:val="20"/>
        </w:rPr>
        <w:t>Time: Expected on April 14, 2024 (Sunday).</w:t>
      </w:r>
    </w:p>
    <w:p w14:paraId="00000005" w14:textId="77777777" w:rsidR="006462A7" w:rsidRPr="001C2A08" w:rsidRDefault="00AF6832" w:rsidP="00AF6832">
      <w:pPr>
        <w:numPr>
          <w:ilvl w:val="0"/>
          <w:numId w:val="3"/>
        </w:numPr>
        <w:pBdr>
          <w:top w:val="nil"/>
          <w:left w:val="nil"/>
          <w:bottom w:val="nil"/>
          <w:right w:val="nil"/>
          <w:between w:val="nil"/>
        </w:pBdr>
        <w:tabs>
          <w:tab w:val="left" w:pos="284"/>
          <w:tab w:val="left" w:pos="942"/>
        </w:tabs>
        <w:spacing w:after="120" w:line="360" w:lineRule="auto"/>
        <w:jc w:val="both"/>
        <w:rPr>
          <w:rFonts w:ascii="Arial" w:eastAsia="Arial" w:hAnsi="Arial" w:cs="Arial"/>
          <w:color w:val="010000"/>
          <w:sz w:val="20"/>
          <w:szCs w:val="20"/>
        </w:rPr>
      </w:pPr>
      <w:r w:rsidRPr="001C2A08">
        <w:rPr>
          <w:rFonts w:ascii="Arial" w:hAnsi="Arial" w:cs="Arial"/>
          <w:color w:val="010000"/>
          <w:sz w:val="20"/>
        </w:rPr>
        <w:t xml:space="preserve">Venue: Hall of Cultural House of </w:t>
      </w:r>
      <w:proofErr w:type="spellStart"/>
      <w:r w:rsidRPr="001C2A08">
        <w:rPr>
          <w:rFonts w:ascii="Arial" w:hAnsi="Arial" w:cs="Arial"/>
          <w:color w:val="010000"/>
          <w:sz w:val="20"/>
        </w:rPr>
        <w:t>Bac</w:t>
      </w:r>
      <w:proofErr w:type="spellEnd"/>
      <w:r w:rsidRPr="001C2A08">
        <w:rPr>
          <w:rFonts w:ascii="Arial" w:hAnsi="Arial" w:cs="Arial"/>
          <w:color w:val="010000"/>
          <w:sz w:val="20"/>
        </w:rPr>
        <w:t xml:space="preserve"> Giang Province Labor Confederation - No. 68, Le Hong Phong Street, </w:t>
      </w:r>
      <w:proofErr w:type="spellStart"/>
      <w:r w:rsidRPr="001C2A08">
        <w:rPr>
          <w:rFonts w:ascii="Arial" w:hAnsi="Arial" w:cs="Arial"/>
          <w:color w:val="010000"/>
          <w:sz w:val="20"/>
        </w:rPr>
        <w:t>Xuong</w:t>
      </w:r>
      <w:proofErr w:type="spellEnd"/>
      <w:r w:rsidRPr="001C2A08">
        <w:rPr>
          <w:rFonts w:ascii="Arial" w:hAnsi="Arial" w:cs="Arial"/>
          <w:color w:val="010000"/>
          <w:sz w:val="20"/>
        </w:rPr>
        <w:t xml:space="preserve"> Giang Ward, </w:t>
      </w:r>
      <w:proofErr w:type="spellStart"/>
      <w:r w:rsidRPr="001C2A08">
        <w:rPr>
          <w:rFonts w:ascii="Arial" w:hAnsi="Arial" w:cs="Arial"/>
          <w:color w:val="010000"/>
          <w:sz w:val="20"/>
        </w:rPr>
        <w:t>Bac</w:t>
      </w:r>
      <w:proofErr w:type="spellEnd"/>
      <w:r w:rsidRPr="001C2A08">
        <w:rPr>
          <w:rFonts w:ascii="Arial" w:hAnsi="Arial" w:cs="Arial"/>
          <w:color w:val="010000"/>
          <w:sz w:val="20"/>
        </w:rPr>
        <w:t xml:space="preserve"> Giang City.</w:t>
      </w:r>
    </w:p>
    <w:p w14:paraId="00000006" w14:textId="77777777" w:rsidR="006462A7" w:rsidRPr="001C2A08" w:rsidRDefault="00AF6832" w:rsidP="00AF6832">
      <w:pPr>
        <w:numPr>
          <w:ilvl w:val="0"/>
          <w:numId w:val="3"/>
        </w:numPr>
        <w:pBdr>
          <w:top w:val="nil"/>
          <w:left w:val="nil"/>
          <w:bottom w:val="nil"/>
          <w:right w:val="nil"/>
          <w:between w:val="nil"/>
        </w:pBdr>
        <w:tabs>
          <w:tab w:val="left" w:pos="284"/>
          <w:tab w:val="left" w:pos="920"/>
        </w:tabs>
        <w:spacing w:after="120" w:line="360" w:lineRule="auto"/>
        <w:jc w:val="both"/>
        <w:rPr>
          <w:rFonts w:ascii="Arial" w:eastAsia="Arial" w:hAnsi="Arial" w:cs="Arial"/>
          <w:color w:val="010000"/>
          <w:sz w:val="20"/>
          <w:szCs w:val="20"/>
        </w:rPr>
      </w:pPr>
      <w:r w:rsidRPr="001C2A08">
        <w:rPr>
          <w:rFonts w:ascii="Arial" w:hAnsi="Arial" w:cs="Arial"/>
          <w:color w:val="010000"/>
          <w:sz w:val="20"/>
        </w:rPr>
        <w:t>Record date: March 04, 2024 (Monday)</w:t>
      </w:r>
    </w:p>
    <w:p w14:paraId="00000007" w14:textId="77777777" w:rsidR="006462A7" w:rsidRPr="001C2A08" w:rsidRDefault="00AF6832" w:rsidP="00AF6832">
      <w:pPr>
        <w:numPr>
          <w:ilvl w:val="0"/>
          <w:numId w:val="3"/>
        </w:numPr>
        <w:pBdr>
          <w:top w:val="nil"/>
          <w:left w:val="nil"/>
          <w:bottom w:val="nil"/>
          <w:right w:val="nil"/>
          <w:between w:val="nil"/>
        </w:pBdr>
        <w:tabs>
          <w:tab w:val="left" w:pos="284"/>
          <w:tab w:val="left" w:pos="920"/>
        </w:tabs>
        <w:spacing w:after="120" w:line="360" w:lineRule="auto"/>
        <w:jc w:val="both"/>
        <w:rPr>
          <w:rFonts w:ascii="Arial" w:eastAsia="Arial" w:hAnsi="Arial" w:cs="Arial"/>
          <w:color w:val="010000"/>
          <w:sz w:val="20"/>
          <w:szCs w:val="20"/>
        </w:rPr>
      </w:pPr>
      <w:r w:rsidRPr="001C2A08">
        <w:rPr>
          <w:rFonts w:ascii="Arial" w:hAnsi="Arial" w:cs="Arial"/>
          <w:color w:val="010000"/>
          <w:sz w:val="20"/>
        </w:rPr>
        <w:t>Meeting contents:</w:t>
      </w:r>
    </w:p>
    <w:p w14:paraId="00000008" w14:textId="77777777" w:rsidR="006462A7" w:rsidRPr="001C2A08" w:rsidRDefault="00AF6832" w:rsidP="00AF6832">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2A08">
        <w:rPr>
          <w:rFonts w:ascii="Arial" w:hAnsi="Arial" w:cs="Arial"/>
          <w:color w:val="010000"/>
          <w:sz w:val="20"/>
        </w:rPr>
        <w:t>Approve the report on production and business results in 2023 and the production and business orientations in 2024;</w:t>
      </w:r>
    </w:p>
    <w:p w14:paraId="00000009" w14:textId="77777777" w:rsidR="006462A7" w:rsidRPr="001C2A08" w:rsidRDefault="00AF6832" w:rsidP="00AF6832">
      <w:pPr>
        <w:numPr>
          <w:ilvl w:val="0"/>
          <w:numId w:val="2"/>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2A08">
        <w:rPr>
          <w:rFonts w:ascii="Arial" w:hAnsi="Arial" w:cs="Arial"/>
          <w:color w:val="010000"/>
          <w:sz w:val="20"/>
        </w:rPr>
        <w:t>Approve the report on activities of the Board of Directors in 2023 and the operational plan for 2024;</w:t>
      </w:r>
    </w:p>
    <w:p w14:paraId="0000000A" w14:textId="77777777" w:rsidR="006462A7" w:rsidRPr="001C2A08" w:rsidRDefault="00AF6832" w:rsidP="00AF683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2A08">
        <w:rPr>
          <w:rFonts w:ascii="Arial" w:hAnsi="Arial" w:cs="Arial"/>
          <w:color w:val="010000"/>
          <w:sz w:val="20"/>
        </w:rPr>
        <w:t>Approve the report on activities of the Supervisory Board in 2023 and the operational orientation in 2024;</w:t>
      </w:r>
    </w:p>
    <w:p w14:paraId="0000000B" w14:textId="77777777" w:rsidR="006462A7" w:rsidRPr="001C2A08" w:rsidRDefault="00AF6832" w:rsidP="00AF6832">
      <w:pPr>
        <w:numPr>
          <w:ilvl w:val="0"/>
          <w:numId w:val="1"/>
        </w:numPr>
        <w:pBdr>
          <w:top w:val="nil"/>
          <w:left w:val="nil"/>
          <w:bottom w:val="nil"/>
          <w:right w:val="nil"/>
          <w:between w:val="nil"/>
        </w:pBdr>
        <w:tabs>
          <w:tab w:val="left" w:pos="284"/>
          <w:tab w:val="left" w:pos="731"/>
        </w:tabs>
        <w:spacing w:after="120" w:line="360" w:lineRule="auto"/>
        <w:jc w:val="both"/>
        <w:rPr>
          <w:rFonts w:ascii="Arial" w:eastAsia="Arial" w:hAnsi="Arial" w:cs="Arial"/>
          <w:color w:val="010000"/>
          <w:sz w:val="20"/>
          <w:szCs w:val="20"/>
        </w:rPr>
      </w:pPr>
      <w:bookmarkStart w:id="1" w:name="_heading=h.gjdgxs"/>
      <w:bookmarkEnd w:id="1"/>
      <w:r w:rsidRPr="001C2A08">
        <w:rPr>
          <w:rFonts w:ascii="Arial" w:hAnsi="Arial" w:cs="Arial"/>
          <w:color w:val="010000"/>
          <w:sz w:val="20"/>
        </w:rPr>
        <w:t>Approve the Audited Financial Statements 2023 and the plan on appropriation for funds and profit distribution;</w:t>
      </w:r>
    </w:p>
    <w:p w14:paraId="0000000C" w14:textId="77777777" w:rsidR="006462A7" w:rsidRPr="001C2A08" w:rsidRDefault="00AF6832" w:rsidP="00AF6832">
      <w:pPr>
        <w:numPr>
          <w:ilvl w:val="0"/>
          <w:numId w:val="1"/>
        </w:numPr>
        <w:pBdr>
          <w:top w:val="nil"/>
          <w:left w:val="nil"/>
          <w:bottom w:val="nil"/>
          <w:right w:val="nil"/>
          <w:between w:val="nil"/>
        </w:pBdr>
        <w:tabs>
          <w:tab w:val="left" w:pos="284"/>
          <w:tab w:val="left" w:pos="704"/>
        </w:tabs>
        <w:spacing w:after="120" w:line="360" w:lineRule="auto"/>
        <w:jc w:val="both"/>
        <w:rPr>
          <w:rFonts w:ascii="Arial" w:eastAsia="Arial" w:hAnsi="Arial" w:cs="Arial"/>
          <w:color w:val="010000"/>
          <w:sz w:val="20"/>
          <w:szCs w:val="20"/>
        </w:rPr>
      </w:pPr>
      <w:r w:rsidRPr="001C2A08">
        <w:rPr>
          <w:rFonts w:ascii="Arial" w:hAnsi="Arial" w:cs="Arial"/>
          <w:color w:val="010000"/>
          <w:sz w:val="20"/>
        </w:rPr>
        <w:t>Other contents under the authority of the General Meeting of Shareholders.</w:t>
      </w:r>
    </w:p>
    <w:p w14:paraId="0000000D" w14:textId="77777777" w:rsidR="006462A7" w:rsidRPr="001C2A08" w:rsidRDefault="00AF6832" w:rsidP="00AF6832">
      <w:pPr>
        <w:pBdr>
          <w:top w:val="nil"/>
          <w:left w:val="nil"/>
          <w:bottom w:val="nil"/>
          <w:right w:val="nil"/>
          <w:between w:val="nil"/>
        </w:pBdr>
        <w:spacing w:after="120" w:line="360" w:lineRule="auto"/>
        <w:jc w:val="both"/>
        <w:rPr>
          <w:rFonts w:ascii="Arial" w:eastAsia="Arial" w:hAnsi="Arial" w:cs="Arial"/>
          <w:color w:val="010000"/>
          <w:sz w:val="20"/>
          <w:szCs w:val="20"/>
        </w:rPr>
      </w:pPr>
      <w:r w:rsidRPr="001C2A08">
        <w:rPr>
          <w:rFonts w:ascii="Arial" w:hAnsi="Arial" w:cs="Arial"/>
          <w:color w:val="010000"/>
          <w:sz w:val="20"/>
        </w:rPr>
        <w:t>‎‎Article 2. This Resolution takes effects from the date of its signing. The Board of Directors, the Board of Managers, relevant departments and individuals are responsible for the implementation of this Resolution.</w:t>
      </w:r>
    </w:p>
    <w:sectPr w:rsidR="006462A7" w:rsidRPr="001C2A08" w:rsidSect="00AF683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F2410"/>
    <w:multiLevelType w:val="multilevel"/>
    <w:tmpl w:val="4DBA58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073757"/>
    <w:multiLevelType w:val="multilevel"/>
    <w:tmpl w:val="A63242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29E6072"/>
    <w:multiLevelType w:val="multilevel"/>
    <w:tmpl w:val="957C4D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A7"/>
    <w:rsid w:val="001C2A08"/>
    <w:rsid w:val="006462A7"/>
    <w:rsid w:val="00AF6832"/>
    <w:rsid w:val="00EF2EAA"/>
    <w:rsid w:val="00FA13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DFF62-98AD-4CB1-BB27-4C94AFC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180" w:lineRule="auto"/>
      <w:jc w:val="center"/>
    </w:pPr>
    <w:rPr>
      <w:rFonts w:ascii="Arial" w:eastAsia="Arial" w:hAnsi="Arial" w:cs="Arial"/>
      <w:sz w:val="19"/>
      <w:szCs w:val="19"/>
    </w:rPr>
  </w:style>
  <w:style w:type="paragraph" w:customStyle="1" w:styleId="Vnbnnidung20">
    <w:name w:val="Văn bản nội dung (2)"/>
    <w:basedOn w:val="Normal"/>
    <w:link w:val="Vnbnnidung2"/>
    <w:pPr>
      <w:ind w:firstLine="2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fZeE3Jyo5jFnhXjDHw6tcLsj1w==">CgMxLjAyCGguZ2pkZ3hzOAByITFrcmdjVzRfM0g5SmhVWXVYMURMQ21tWXhCWk5yN2JPMw==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2024-02-07T03:43:00Z</dcterms:created>
  <dcterms:modified xsi:type="dcterms:W3CDTF">2024-02-07T03:43:00Z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52539ed57ab35ac11250d436673477f099bf0516bb8210c71904785f8994f450</vt:lpwstr>
  </property>
</Properties>
</file>