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0359" w:rsidRDefault="000750B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/>
          <w:b/>
          <w:color w:val="010000"/>
          <w:sz w:val="20"/>
        </w:rPr>
        <w:t>FRM: Board Resolution</w:t>
      </w:r>
    </w:p>
    <w:p w14:paraId="00000002" w14:textId="77777777" w:rsidR="00CD0359" w:rsidRDefault="000750B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February 02, 2024, Saigon Forestry Import - Export Joint Stock Company announced Resolution No. 01/NQ-HDQT on the organization of the Annual General Meeting of Shareholders 2024 as follows:</w:t>
      </w:r>
    </w:p>
    <w:p w14:paraId="00000003" w14:textId="77777777" w:rsidR="00CD0359" w:rsidRDefault="000750B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1. </w:t>
      </w:r>
      <w:r>
        <w:rPr>
          <w:rFonts w:ascii="Arial" w:hAnsi="Arial"/>
          <w:color w:val="010000"/>
          <w:sz w:val="20"/>
        </w:rPr>
        <w:t>The Board of Directors of the Company agreed to hold the Annual General Meeting of Shareholders 2022 of the Company with the following contents:</w:t>
      </w:r>
    </w:p>
    <w:p w14:paraId="00000004" w14:textId="1F1209E9" w:rsidR="00CD0359" w:rsidRDefault="00075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Time to record the list of shareholders: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Expected on March 20, 2024 in accordance with the provisions of </w:t>
      </w:r>
      <w:r>
        <w:rPr>
          <w:rFonts w:ascii="Arial" w:hAnsi="Arial"/>
          <w:color w:val="010000"/>
          <w:sz w:val="20"/>
        </w:rPr>
        <w:t>La</w:t>
      </w:r>
      <w:r>
        <w:rPr>
          <w:rFonts w:ascii="Arial" w:hAnsi="Arial"/>
          <w:color w:val="010000"/>
          <w:sz w:val="20"/>
        </w:rPr>
        <w:t>w on Enterprises No. 59/2020/QH14.</w:t>
      </w:r>
    </w:p>
    <w:p w14:paraId="00000005" w14:textId="77777777" w:rsidR="00CD0359" w:rsidRDefault="00075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Time: </w:t>
      </w:r>
      <w:r>
        <w:rPr>
          <w:rFonts w:ascii="Arial" w:hAnsi="Arial"/>
          <w:color w:val="010000"/>
          <w:sz w:val="20"/>
        </w:rPr>
        <w:t>Expected in April 2024. The Board of Directors will agree and announce specifically in the Invitation Letter.</w:t>
      </w:r>
    </w:p>
    <w:p w14:paraId="00000006" w14:textId="77777777" w:rsidR="00CD0359" w:rsidRDefault="00075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3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Venue:</w:t>
      </w:r>
      <w:r>
        <w:rPr>
          <w:rFonts w:ascii="Arial" w:hAnsi="Arial"/>
          <w:color w:val="010000"/>
          <w:sz w:val="20"/>
        </w:rPr>
        <w:t xml:space="preserve"> 130/2 Kha Van Can, Hiep Binh Chanh Ward, Thu Duc City, Ho Chi Minh City.</w:t>
      </w:r>
    </w:p>
    <w:p w14:paraId="00000007" w14:textId="77777777" w:rsidR="00CD0359" w:rsidRDefault="000750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2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Meeting contents: </w:t>
      </w:r>
      <w:r>
        <w:rPr>
          <w:rFonts w:ascii="Arial" w:hAnsi="Arial"/>
          <w:color w:val="010000"/>
          <w:sz w:val="20"/>
        </w:rPr>
        <w:t>Accordi</w:t>
      </w:r>
      <w:r>
        <w:rPr>
          <w:rFonts w:ascii="Arial" w:hAnsi="Arial"/>
          <w:color w:val="010000"/>
          <w:sz w:val="20"/>
        </w:rPr>
        <w:t>ng to Official Dispatch No. 03/CV-LN dated January 4, 2024 of the General Manager, specifically as follows:</w:t>
      </w:r>
    </w:p>
    <w:p w14:paraId="00000008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Production and business plan for 2024;</w:t>
      </w:r>
    </w:p>
    <w:p w14:paraId="00000009" w14:textId="1212FC00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Audited Financial Statements 2023;</w:t>
      </w:r>
    </w:p>
    <w:p w14:paraId="0000000A" w14:textId="7D5A42FE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Board of Directors on the governance and operation results of the Board of Directors;</w:t>
      </w:r>
    </w:p>
    <w:p w14:paraId="0000000B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of the Supervisory Board on the business results of the Company, and the operation results of the Board of Directors and the General Manager;</w:t>
      </w:r>
    </w:p>
    <w:p w14:paraId="0000000C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</w:t>
      </w:r>
      <w:r>
        <w:rPr>
          <w:rFonts w:ascii="Arial" w:hAnsi="Arial"/>
          <w:color w:val="010000"/>
          <w:sz w:val="20"/>
        </w:rPr>
        <w:t>ort of the Board of Management on the Company's operations and business results in 2023;</w:t>
      </w:r>
    </w:p>
    <w:p w14:paraId="0000000D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Profit distribution plan;</w:t>
      </w:r>
    </w:p>
    <w:p w14:paraId="0000000E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Elect the Board of Directors and the Supervisory Board for the term of 2024-2029;</w:t>
      </w:r>
    </w:p>
    <w:p w14:paraId="0000000F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remuneration of the Board of Directors and Superv</w:t>
      </w:r>
      <w:r>
        <w:rPr>
          <w:rFonts w:ascii="Arial" w:hAnsi="Arial"/>
          <w:color w:val="010000"/>
          <w:sz w:val="20"/>
        </w:rPr>
        <w:t>isory Board in 2023 and remuneration plan for 2024;</w:t>
      </w:r>
    </w:p>
    <w:p w14:paraId="00000010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Select an independent Audit Company for the fiscal year 2024;</w:t>
      </w:r>
    </w:p>
    <w:p w14:paraId="00000011" w14:textId="77777777" w:rsidR="00CD0359" w:rsidRDefault="000750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Other issues under the authorities.</w:t>
      </w:r>
    </w:p>
    <w:p w14:paraId="00000012" w14:textId="77777777" w:rsidR="00CD0359" w:rsidRDefault="000750B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2. </w:t>
      </w:r>
      <w:r>
        <w:rPr>
          <w:rFonts w:ascii="Arial" w:hAnsi="Arial"/>
          <w:color w:val="010000"/>
          <w:sz w:val="20"/>
        </w:rPr>
        <w:t>Assign the Board of Management to carry out procedures to organize the Annual General Meeting</w:t>
      </w:r>
      <w:r>
        <w:rPr>
          <w:rFonts w:ascii="Arial" w:hAnsi="Arial"/>
          <w:color w:val="010000"/>
          <w:sz w:val="20"/>
        </w:rPr>
        <w:t xml:space="preserve"> of Shareholders 2024 in accordance with the Company’s Charter and current laws.</w:t>
      </w:r>
    </w:p>
    <w:p w14:paraId="00000013" w14:textId="77777777" w:rsidR="00CD0359" w:rsidRDefault="000750B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3. </w:t>
      </w:r>
      <w:r>
        <w:rPr>
          <w:rFonts w:ascii="Arial" w:hAnsi="Arial"/>
          <w:color w:val="010000"/>
          <w:sz w:val="20"/>
        </w:rPr>
        <w:t>Fulfill the duty of information disclosure as per the current provisions of law.</w:t>
      </w:r>
    </w:p>
    <w:p w14:paraId="00000014" w14:textId="77777777" w:rsidR="00CD0359" w:rsidRDefault="000750B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 xml:space="preserve">‎‎Article 4. </w:t>
      </w:r>
      <w:r>
        <w:rPr>
          <w:rFonts w:ascii="Arial" w:hAnsi="Arial"/>
          <w:color w:val="010000"/>
          <w:sz w:val="20"/>
        </w:rPr>
        <w:t>This Resolution is approved by the Board</w:t>
      </w:r>
      <w:bookmarkStart w:id="0" w:name="_GoBack"/>
      <w:bookmarkEnd w:id="0"/>
      <w:r>
        <w:rPr>
          <w:rFonts w:ascii="Arial" w:hAnsi="Arial"/>
          <w:color w:val="010000"/>
          <w:sz w:val="20"/>
        </w:rPr>
        <w:t xml:space="preserve"> of Directors and takes effe</w:t>
      </w:r>
      <w:r>
        <w:rPr>
          <w:rFonts w:ascii="Arial" w:hAnsi="Arial"/>
          <w:color w:val="010000"/>
          <w:sz w:val="20"/>
        </w:rPr>
        <w:t>ct from the date of its signing.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>The Board of Directors, the Supervisory Board, the Board of Management, relevant departments, units and individuals are responsible for the implementation of this Resolution.</w:t>
      </w:r>
    </w:p>
    <w:p w14:paraId="00000015" w14:textId="77777777" w:rsidR="00CD0359" w:rsidRDefault="00CD0359">
      <w:pP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CD0359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3AF8"/>
    <w:multiLevelType w:val="multilevel"/>
    <w:tmpl w:val="D98C47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8CB70E3"/>
    <w:multiLevelType w:val="multilevel"/>
    <w:tmpl w:val="FCEC95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59"/>
    <w:rsid w:val="000750B0"/>
    <w:rsid w:val="00C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6B8F3"/>
  <w15:docId w15:val="{35D5D153-D57D-4A25-A160-A7FE889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0">
    <w:name w:val="Văn bản nội dung"/>
    <w:basedOn w:val="Normal"/>
    <w:link w:val="Vnbnnidung"/>
    <w:pPr>
      <w:spacing w:line="26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yul1XT5tGggXWKbN+5xNqe60Ag==">CgMxLjA4AHIhMUZsVFI0VG1wYzRtajNUbl9XQ0l1VmQ3dFVNQzktY2ti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1825</Characters>
  <Application>Microsoft Office Word</Application>
  <DocSecurity>0</DocSecurity>
  <Lines>32</Lines>
  <Paragraphs>20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2024-02-06T07:11:00Z</dcterms:created>
  <dcterms:modified xsi:type="dcterms:W3CDTF">2024-02-07T01:44:00Z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7046973aa1f9a43819e7ccbdf05492ce4ddcab8a0bd53ca976eaa3588493e8df</vt:lpwstr>
  </property>
</Properties>
</file>