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CAEB" w14:textId="77777777" w:rsidR="00E56A37" w:rsidRPr="003D7BEB" w:rsidRDefault="00501A28" w:rsidP="00501A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D7BEB">
        <w:rPr>
          <w:rFonts w:ascii="Arial" w:hAnsi="Arial" w:cs="Arial"/>
          <w:b/>
          <w:color w:val="010000"/>
          <w:sz w:val="20"/>
        </w:rPr>
        <w:t>GMA: Board Resolution</w:t>
      </w:r>
    </w:p>
    <w:p w14:paraId="361D6EDD" w14:textId="77777777" w:rsidR="00E56A37" w:rsidRPr="003D7BEB" w:rsidRDefault="00501A28" w:rsidP="00501A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7BEB">
        <w:rPr>
          <w:rFonts w:ascii="Arial" w:hAnsi="Arial" w:cs="Arial"/>
          <w:color w:val="010000"/>
          <w:sz w:val="20"/>
        </w:rPr>
        <w:t>On February 2, 2024, G-AUTOMOBILE…,JSC announced Resolution No. 01/2024/NQ/HDQT-GMA on signing the contracts, transactions between the Company and related organizations in 2024, as follows:</w:t>
      </w:r>
    </w:p>
    <w:p w14:paraId="2232F7CB" w14:textId="77777777" w:rsidR="00E56A37" w:rsidRPr="003D7BEB" w:rsidRDefault="00501A28" w:rsidP="00501A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7BEB">
        <w:rPr>
          <w:rFonts w:ascii="Arial" w:hAnsi="Arial" w:cs="Arial"/>
          <w:color w:val="010000"/>
          <w:sz w:val="20"/>
        </w:rPr>
        <w:t>‎‎Article 1. The Board of Directors approves the signing of the contracts, transactions between he Company and related organizations in 2024 as per regulations in Clauses 1 and 2 of Article 167 of Law on Enterprises No. 59/2020/QH14 on June 17, 2020 and Article 42 of the Company’s charter with the following contents: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8"/>
        <w:gridCol w:w="2929"/>
        <w:gridCol w:w="2570"/>
      </w:tblGrid>
      <w:tr w:rsidR="00E56A37" w:rsidRPr="003D7BEB" w14:paraId="34C41D6D" w14:textId="77777777" w:rsidTr="00501A28"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8E29E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Related party</w:t>
            </w:r>
          </w:p>
        </w:tc>
        <w:tc>
          <w:tcPr>
            <w:tcW w:w="1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A7FE5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Transaction content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94C62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Transaction value/ Total relevant transaction value (expected) (VND)</w:t>
            </w:r>
          </w:p>
        </w:tc>
      </w:tr>
      <w:tr w:rsidR="00E56A37" w:rsidRPr="003D7BEB" w14:paraId="58ED5278" w14:textId="77777777" w:rsidTr="00501A28"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99F8F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VIT-METAL Company Limited</w:t>
            </w:r>
          </w:p>
        </w:tc>
        <w:tc>
          <w:tcPr>
            <w:tcW w:w="1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B1D4C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FB91C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1,525,128,000</w:t>
            </w:r>
          </w:p>
        </w:tc>
      </w:tr>
      <w:tr w:rsidR="00E56A37" w:rsidRPr="003D7BEB" w14:paraId="21729C20" w14:textId="77777777" w:rsidTr="00501A28"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1A3A1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An Dan Trade Investment Corporation</w:t>
            </w:r>
          </w:p>
        </w:tc>
        <w:tc>
          <w:tcPr>
            <w:tcW w:w="1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F2FC1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7D7E8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546,744,000</w:t>
            </w:r>
          </w:p>
        </w:tc>
      </w:tr>
      <w:tr w:rsidR="00E56A37" w:rsidRPr="003D7BEB" w14:paraId="53FEF5E9" w14:textId="77777777" w:rsidTr="00501A28"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2B587" w14:textId="0012A5EF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Công ty TNHH ô tô An Dân Vĩnh Phúc (tentatively translated as An Dan Vinh Phuc Automobile Company Limited)</w:t>
            </w:r>
          </w:p>
        </w:tc>
        <w:tc>
          <w:tcPr>
            <w:tcW w:w="1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AD2BD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35635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201,432,000</w:t>
            </w:r>
          </w:p>
        </w:tc>
      </w:tr>
      <w:tr w:rsidR="00E56A37" w:rsidRPr="003D7BEB" w14:paraId="1E5EE4B4" w14:textId="77777777" w:rsidTr="00501A28"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CD07F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An Do Investment Trading Corporation</w:t>
            </w:r>
          </w:p>
        </w:tc>
        <w:tc>
          <w:tcPr>
            <w:tcW w:w="1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784B6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AF53D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791,340,000</w:t>
            </w:r>
          </w:p>
        </w:tc>
      </w:tr>
      <w:tr w:rsidR="00E56A37" w:rsidRPr="003D7BEB" w14:paraId="6DF4332E" w14:textId="77777777" w:rsidTr="00501A28"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88211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An Phat Service Providing Company Limited</w:t>
            </w:r>
          </w:p>
        </w:tc>
        <w:tc>
          <w:tcPr>
            <w:tcW w:w="1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29440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Software service rental fee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E3F6E" w14:textId="77777777" w:rsidR="00E56A37" w:rsidRPr="003D7BEB" w:rsidRDefault="00501A28" w:rsidP="00501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D7BEB">
              <w:rPr>
                <w:rFonts w:ascii="Arial" w:hAnsi="Arial" w:cs="Arial"/>
                <w:color w:val="010000"/>
                <w:sz w:val="20"/>
              </w:rPr>
              <w:t>871,200,000</w:t>
            </w:r>
          </w:p>
        </w:tc>
      </w:tr>
    </w:tbl>
    <w:p w14:paraId="4C5C4BD8" w14:textId="77777777" w:rsidR="00E56A37" w:rsidRPr="003D7BEB" w:rsidRDefault="00501A28" w:rsidP="00501A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D7BEB">
        <w:rPr>
          <w:rFonts w:ascii="Arial" w:hAnsi="Arial" w:cs="Arial"/>
          <w:color w:val="010000"/>
          <w:sz w:val="20"/>
        </w:rPr>
        <w:t>* Transaction value/Total relevant transaction value (expected): Less than 35% of the total values of assets of the Company recorded in the most recent Financial Statements.</w:t>
      </w:r>
    </w:p>
    <w:p w14:paraId="0BD6791C" w14:textId="77777777" w:rsidR="00E56A37" w:rsidRPr="003D7BEB" w:rsidRDefault="00501A28" w:rsidP="00501A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7BEB">
        <w:rPr>
          <w:rFonts w:ascii="Arial" w:hAnsi="Arial" w:cs="Arial"/>
          <w:color w:val="010000"/>
          <w:sz w:val="20"/>
        </w:rPr>
        <w:t xml:space="preserve">‎‎Article 2. The Board of Directors authorizes and assigns Ms. Nguyen Thi Thanh Thuy - the General Manager, the legal representative of the Company to negotiate, sign the contracts, transactions and implement relevant procedures mentioned in Article 1 in accordance with the provisions of law, the Company’s charter and ensuring the Company’s interest. </w:t>
      </w:r>
    </w:p>
    <w:p w14:paraId="3DF0E045" w14:textId="77777777" w:rsidR="00E56A37" w:rsidRPr="003D7BEB" w:rsidRDefault="00501A28" w:rsidP="00501A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7BEB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5CD87A47" w14:textId="77777777" w:rsidR="00E56A37" w:rsidRPr="003D7BEB" w:rsidRDefault="00501A28" w:rsidP="00501A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7BEB">
        <w:rPr>
          <w:rFonts w:ascii="Arial" w:hAnsi="Arial" w:cs="Arial"/>
          <w:color w:val="010000"/>
          <w:sz w:val="20"/>
        </w:rPr>
        <w:t xml:space="preserve">Member of the Board of Directors, Ms. Nguyen Thi Thanh Thuy, and relevant departments and individuals are responsible for implementing this Resolution. </w:t>
      </w:r>
    </w:p>
    <w:sectPr w:rsidR="00E56A37" w:rsidRPr="003D7BEB" w:rsidSect="00501A2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37"/>
    <w:rsid w:val="0017349E"/>
    <w:rsid w:val="003D7BEB"/>
    <w:rsid w:val="00501A28"/>
    <w:rsid w:val="00E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EB2F9"/>
  <w15:docId w15:val="{05FE4E3B-6DA7-428A-8FC4-48A7AE3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A65661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0202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1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281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Verdana" w:eastAsia="Verdana" w:hAnsi="Verdana" w:cs="Verdana"/>
      <w:color w:val="A65661"/>
      <w:sz w:val="17"/>
      <w:szCs w:val="17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color w:val="F90202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WxdD1m+NdMxJiWi1krEdIsrUTQ==">CgMxLjAyCGguZ2pkZ3hzOAByITFmN3BUWmR2RGxHeUVKc1dLQUs3X1A5X2lSeWtzMXZDeA==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1595</Characters>
  <Application>Microsoft Office Word</Application>
  <DocSecurity>0</DocSecurity>
  <Lines>43</Lines>
  <Paragraphs>25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3</cp:revision>
  <dcterms:created xsi:type="dcterms:W3CDTF">2024-02-06T04:36:00Z</dcterms:created>
  <dcterms:modified xsi:type="dcterms:W3CDTF">2024-02-07T02:50:00Z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60b6872f2f2df81bd4d86c48fb8e6d93cb5f039926caa7ce95267f9fed58acdf</vt:lpwstr>
  </property>
</Properties>
</file>