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F4C41" w:rsidRPr="007F3D2C" w:rsidRDefault="000A6DC5" w:rsidP="000A6DC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F3D2C">
        <w:rPr>
          <w:rFonts w:ascii="Arial" w:hAnsi="Arial" w:cs="Arial"/>
          <w:b/>
          <w:color w:val="010000"/>
          <w:sz w:val="20"/>
        </w:rPr>
        <w:t xml:space="preserve">HGM: Board Resolution </w:t>
      </w:r>
    </w:p>
    <w:p w14:paraId="00000002" w14:textId="77777777" w:rsidR="004F4C41" w:rsidRPr="007F3D2C" w:rsidRDefault="000A6DC5" w:rsidP="000A6DC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F3D2C">
        <w:rPr>
          <w:rFonts w:ascii="Arial" w:hAnsi="Arial" w:cs="Arial"/>
          <w:color w:val="010000"/>
          <w:sz w:val="20"/>
        </w:rPr>
        <w:t>On February 2, 2024, Ha Giang Mineral and Mechanics JSC announced Resolution No. 34/NQ-HDQT on the dividend prepayment in for the second round of 2023 in cash at the rate of 35% as follows:</w:t>
      </w:r>
    </w:p>
    <w:p w14:paraId="00000003" w14:textId="77777777" w:rsidR="004F4C41" w:rsidRPr="007F3D2C" w:rsidRDefault="000A6DC5" w:rsidP="000A6DC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F3D2C">
        <w:rPr>
          <w:rFonts w:ascii="Arial" w:hAnsi="Arial" w:cs="Arial"/>
          <w:color w:val="010000"/>
          <w:sz w:val="20"/>
        </w:rPr>
        <w:t>‎‎Article 1. Prepay dividends for the second round of 2023 in cash:</w:t>
      </w:r>
    </w:p>
    <w:p w14:paraId="00000004" w14:textId="77777777" w:rsidR="004F4C41" w:rsidRPr="007F3D2C" w:rsidRDefault="000A6DC5" w:rsidP="000A6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F3D2C">
        <w:rPr>
          <w:rFonts w:ascii="Arial" w:hAnsi="Arial" w:cs="Arial"/>
          <w:color w:val="010000"/>
          <w:sz w:val="20"/>
        </w:rPr>
        <w:t xml:space="preserve">Exercise rate: 35% </w:t>
      </w:r>
    </w:p>
    <w:p w14:paraId="00000005" w14:textId="77777777" w:rsidR="004F4C41" w:rsidRPr="007F3D2C" w:rsidRDefault="000A6DC5" w:rsidP="000A6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F3D2C">
        <w:rPr>
          <w:rFonts w:ascii="Arial" w:hAnsi="Arial" w:cs="Arial"/>
          <w:color w:val="010000"/>
          <w:sz w:val="20"/>
        </w:rPr>
        <w:t>Record date: February 26, 2024</w:t>
      </w:r>
    </w:p>
    <w:p w14:paraId="00000006" w14:textId="77777777" w:rsidR="004F4C41" w:rsidRPr="007F3D2C" w:rsidRDefault="000A6DC5" w:rsidP="000A6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F3D2C">
        <w:rPr>
          <w:rFonts w:ascii="Arial" w:hAnsi="Arial" w:cs="Arial"/>
          <w:color w:val="010000"/>
          <w:sz w:val="20"/>
        </w:rPr>
        <w:t>Payment date: March 25, 2024</w:t>
      </w:r>
    </w:p>
    <w:p w14:paraId="00000007" w14:textId="77777777" w:rsidR="004F4C41" w:rsidRPr="007F3D2C" w:rsidRDefault="000A6DC5" w:rsidP="000A6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F3D2C">
        <w:rPr>
          <w:rFonts w:ascii="Arial" w:hAnsi="Arial" w:cs="Arial"/>
          <w:color w:val="010000"/>
          <w:sz w:val="20"/>
        </w:rPr>
        <w:t>Payment source: From remaining undistributed profit in 2023</w:t>
      </w:r>
    </w:p>
    <w:p w14:paraId="00000008" w14:textId="77777777" w:rsidR="004F4C41" w:rsidRPr="007F3D2C" w:rsidRDefault="000A6DC5" w:rsidP="000A6DC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F3D2C">
        <w:rPr>
          <w:rFonts w:ascii="Arial" w:hAnsi="Arial" w:cs="Arial"/>
          <w:color w:val="010000"/>
          <w:sz w:val="20"/>
        </w:rPr>
        <w:t>Article 2: Assign the Manager to implement dividend prepayment for the second round of 2023 according to current regulations.</w:t>
      </w:r>
    </w:p>
    <w:p w14:paraId="00000009" w14:textId="77777777" w:rsidR="004F4C41" w:rsidRPr="007F3D2C" w:rsidRDefault="000A6DC5" w:rsidP="000A6DC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F3D2C">
        <w:rPr>
          <w:rFonts w:ascii="Arial" w:hAnsi="Arial" w:cs="Arial"/>
          <w:color w:val="010000"/>
          <w:sz w:val="20"/>
        </w:rPr>
        <w:t>Article 3: The Board of Directors, the Board of Managers, the Chief Accountant and relevant departments are responsible for implementing this Resolution.</w:t>
      </w:r>
    </w:p>
    <w:p w14:paraId="0000000A" w14:textId="77777777" w:rsidR="004F4C41" w:rsidRPr="007F3D2C" w:rsidRDefault="000A6DC5" w:rsidP="000A6DC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F3D2C">
        <w:rPr>
          <w:rFonts w:ascii="Arial" w:hAnsi="Arial" w:cs="Arial"/>
          <w:color w:val="010000"/>
          <w:sz w:val="20"/>
        </w:rPr>
        <w:t>This Resolution takes effect from the date of its signing.</w:t>
      </w:r>
    </w:p>
    <w:sectPr w:rsidR="004F4C41" w:rsidRPr="007F3D2C" w:rsidSect="000A6DC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57A7"/>
    <w:multiLevelType w:val="multilevel"/>
    <w:tmpl w:val="E27C618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C41"/>
    <w:rsid w:val="000A6DC5"/>
    <w:rsid w:val="002F2D1E"/>
    <w:rsid w:val="00320DB2"/>
    <w:rsid w:val="004F4C41"/>
    <w:rsid w:val="007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FE4E3B-6DA7-428A-8FC4-48A7AE3F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/>
      <w:strike w:val="0"/>
      <w:sz w:val="38"/>
      <w:szCs w:val="3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0" w:lineRule="auto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pPr>
      <w:ind w:firstLine="170"/>
    </w:pPr>
    <w:rPr>
      <w:rFonts w:ascii="Arial" w:eastAsia="Arial" w:hAnsi="Arial" w:cs="Arial"/>
      <w:b/>
      <w:bCs/>
      <w:sz w:val="19"/>
      <w:szCs w:val="19"/>
    </w:rPr>
  </w:style>
  <w:style w:type="paragraph" w:customStyle="1" w:styleId="Vnbnnidung40">
    <w:name w:val="Văn bản nội dung (4)"/>
    <w:basedOn w:val="Normal"/>
    <w:link w:val="Vnbnnidung4"/>
    <w:pPr>
      <w:spacing w:line="180" w:lineRule="auto"/>
    </w:pPr>
    <w:rPr>
      <w:rFonts w:ascii="Arial" w:eastAsia="Arial" w:hAnsi="Arial" w:cs="Arial"/>
      <w:smallCaps/>
      <w:sz w:val="38"/>
      <w:szCs w:val="3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BSBtg8h9xjgx74dzNSuiBRTnYw==">CgMxLjAyCGguZ2pkZ3hzOAByITExX09UQzliZVczSEs5a1BHQU9CNDRkTmFFZnZiUEZ1aw==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644</Characters>
  <Application>Microsoft Office Word</Application>
  <DocSecurity>0</DocSecurity>
  <Lines>11</Lines>
  <Paragraphs>6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Minh Hiếu Kiều</cp:lastModifiedBy>
  <cp:revision>5</cp:revision>
  <dcterms:created xsi:type="dcterms:W3CDTF">2024-02-06T04:36:00Z</dcterms:created>
  <dcterms:modified xsi:type="dcterms:W3CDTF">2024-02-07T02:50:00Z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ae522e49aced07470f6a8e1c89d2415395f8ffe3110434df724978f37b8902ca</vt:lpwstr>
  </property>
</Properties>
</file>