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7768" w:rsidRPr="009A0892" w:rsidRDefault="005925D0" w:rsidP="005925D0">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9A0892">
        <w:rPr>
          <w:rFonts w:ascii="Arial" w:hAnsi="Arial" w:cs="Arial"/>
          <w:b/>
          <w:bCs/>
          <w:color w:val="010000"/>
          <w:sz w:val="20"/>
        </w:rPr>
        <w:t>LPB122010:</w:t>
      </w:r>
      <w:r w:rsidRPr="009A0892">
        <w:rPr>
          <w:rFonts w:ascii="Arial" w:hAnsi="Arial" w:cs="Arial"/>
          <w:b/>
          <w:color w:val="010000"/>
          <w:sz w:val="20"/>
        </w:rPr>
        <w:t xml:space="preserve"> Notice on the record date to receive interest payment for period 02 and exercise the rights to repurchase all bonds before the maturity date </w:t>
      </w:r>
    </w:p>
    <w:p w14:paraId="00000002" w14:textId="77777777" w:rsidR="00937768" w:rsidRPr="009A0892" w:rsidRDefault="005925D0" w:rsidP="005925D0">
      <w:pPr>
        <w:pBdr>
          <w:top w:val="nil"/>
          <w:left w:val="nil"/>
          <w:bottom w:val="nil"/>
          <w:right w:val="nil"/>
          <w:between w:val="nil"/>
        </w:pBdr>
        <w:spacing w:after="120" w:line="360" w:lineRule="auto"/>
        <w:jc w:val="both"/>
        <w:rPr>
          <w:rFonts w:ascii="Arial" w:eastAsia="Arial" w:hAnsi="Arial" w:cs="Arial"/>
          <w:color w:val="010000"/>
          <w:sz w:val="20"/>
          <w:szCs w:val="20"/>
        </w:rPr>
      </w:pPr>
      <w:r w:rsidRPr="009A0892">
        <w:rPr>
          <w:rFonts w:ascii="Arial" w:hAnsi="Arial" w:cs="Arial"/>
          <w:color w:val="010000"/>
          <w:sz w:val="20"/>
        </w:rPr>
        <w:t>On January 30, 2024, Vietnam Securities Depository and Clearing Corporation announced Notice No. 350/TB-VSDC on the record date and confirmation of the list of securities owners as follows:</w:t>
      </w:r>
    </w:p>
    <w:p w14:paraId="00000003" w14:textId="77777777" w:rsidR="00937768" w:rsidRPr="009A0892" w:rsidRDefault="005925D0" w:rsidP="005925D0">
      <w:pPr>
        <w:numPr>
          <w:ilvl w:val="0"/>
          <w:numId w:val="3"/>
        </w:numPr>
        <w:pBdr>
          <w:top w:val="nil"/>
          <w:left w:val="nil"/>
          <w:bottom w:val="nil"/>
          <w:right w:val="nil"/>
          <w:between w:val="nil"/>
        </w:pBdr>
        <w:tabs>
          <w:tab w:val="left" w:pos="155"/>
        </w:tabs>
        <w:spacing w:after="120" w:line="360" w:lineRule="auto"/>
        <w:jc w:val="both"/>
        <w:rPr>
          <w:rFonts w:ascii="Arial" w:eastAsia="Arial" w:hAnsi="Arial" w:cs="Arial"/>
          <w:color w:val="010000"/>
          <w:sz w:val="20"/>
          <w:szCs w:val="20"/>
        </w:rPr>
      </w:pPr>
      <w:r w:rsidRPr="009A0892">
        <w:rPr>
          <w:rFonts w:ascii="Arial" w:hAnsi="Arial" w:cs="Arial"/>
          <w:color w:val="010000"/>
          <w:sz w:val="20"/>
        </w:rPr>
        <w:t>Name of Issuer: LienViet Post Joint Stock Commercial Bank</w:t>
      </w:r>
    </w:p>
    <w:p w14:paraId="00000004" w14:textId="77777777" w:rsidR="00937768" w:rsidRPr="009A0892" w:rsidRDefault="005925D0" w:rsidP="005925D0">
      <w:pPr>
        <w:numPr>
          <w:ilvl w:val="0"/>
          <w:numId w:val="3"/>
        </w:numPr>
        <w:pBdr>
          <w:top w:val="nil"/>
          <w:left w:val="nil"/>
          <w:bottom w:val="nil"/>
          <w:right w:val="nil"/>
          <w:between w:val="nil"/>
        </w:pBdr>
        <w:tabs>
          <w:tab w:val="left" w:pos="155"/>
        </w:tabs>
        <w:spacing w:after="120" w:line="360" w:lineRule="auto"/>
        <w:jc w:val="both"/>
        <w:rPr>
          <w:rFonts w:ascii="Arial" w:eastAsia="Arial" w:hAnsi="Arial" w:cs="Arial"/>
          <w:color w:val="010000"/>
          <w:sz w:val="20"/>
          <w:szCs w:val="20"/>
        </w:rPr>
      </w:pPr>
      <w:r w:rsidRPr="009A0892">
        <w:rPr>
          <w:rFonts w:ascii="Arial" w:hAnsi="Arial" w:cs="Arial"/>
          <w:color w:val="010000"/>
          <w:sz w:val="20"/>
        </w:rPr>
        <w:t>Securities name: Bonds of LienViet Post Joint Stock Commercial Bank in the public offering in 2021</w:t>
      </w:r>
    </w:p>
    <w:p w14:paraId="00000005" w14:textId="77777777" w:rsidR="00937768" w:rsidRPr="009A0892" w:rsidRDefault="005925D0" w:rsidP="005925D0">
      <w:pPr>
        <w:numPr>
          <w:ilvl w:val="0"/>
          <w:numId w:val="3"/>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sidRPr="009A0892">
        <w:rPr>
          <w:rFonts w:ascii="Arial" w:hAnsi="Arial" w:cs="Arial"/>
          <w:color w:val="010000"/>
          <w:sz w:val="20"/>
        </w:rPr>
        <w:t>Securities code: LPB122010</w:t>
      </w:r>
    </w:p>
    <w:p w14:paraId="00000006" w14:textId="77777777" w:rsidR="00937768" w:rsidRPr="009A0892" w:rsidRDefault="005925D0" w:rsidP="005925D0">
      <w:pPr>
        <w:numPr>
          <w:ilvl w:val="0"/>
          <w:numId w:val="3"/>
        </w:numPr>
        <w:pBdr>
          <w:top w:val="nil"/>
          <w:left w:val="nil"/>
          <w:bottom w:val="nil"/>
          <w:right w:val="nil"/>
          <w:between w:val="nil"/>
        </w:pBdr>
        <w:tabs>
          <w:tab w:val="left" w:pos="155"/>
        </w:tabs>
        <w:spacing w:after="120" w:line="360" w:lineRule="auto"/>
        <w:jc w:val="both"/>
        <w:rPr>
          <w:rFonts w:ascii="Arial" w:eastAsia="Arial" w:hAnsi="Arial" w:cs="Arial"/>
          <w:color w:val="010000"/>
          <w:sz w:val="20"/>
          <w:szCs w:val="20"/>
        </w:rPr>
      </w:pPr>
      <w:r w:rsidRPr="009A0892">
        <w:rPr>
          <w:rFonts w:ascii="Arial" w:hAnsi="Arial" w:cs="Arial"/>
          <w:color w:val="010000"/>
          <w:sz w:val="20"/>
        </w:rPr>
        <w:t>ISIN code: VNLPB1220109</w:t>
      </w:r>
    </w:p>
    <w:p w14:paraId="00000007" w14:textId="77777777" w:rsidR="00937768" w:rsidRPr="009A0892" w:rsidRDefault="005925D0" w:rsidP="005925D0">
      <w:pPr>
        <w:numPr>
          <w:ilvl w:val="0"/>
          <w:numId w:val="3"/>
        </w:numPr>
        <w:pBdr>
          <w:top w:val="nil"/>
          <w:left w:val="nil"/>
          <w:bottom w:val="nil"/>
          <w:right w:val="nil"/>
          <w:between w:val="nil"/>
        </w:pBdr>
        <w:tabs>
          <w:tab w:val="left" w:pos="158"/>
        </w:tabs>
        <w:spacing w:after="120" w:line="360" w:lineRule="auto"/>
        <w:jc w:val="both"/>
        <w:rPr>
          <w:rFonts w:ascii="Arial" w:eastAsia="Arial" w:hAnsi="Arial" w:cs="Arial"/>
          <w:color w:val="010000"/>
          <w:sz w:val="20"/>
          <w:szCs w:val="20"/>
        </w:rPr>
      </w:pPr>
      <w:r w:rsidRPr="009A0892">
        <w:rPr>
          <w:rFonts w:ascii="Arial" w:hAnsi="Arial" w:cs="Arial"/>
          <w:color w:val="010000"/>
          <w:sz w:val="20"/>
        </w:rPr>
        <w:t>Exchange: HNX</w:t>
      </w:r>
    </w:p>
    <w:p w14:paraId="00000008" w14:textId="77777777" w:rsidR="00937768" w:rsidRPr="009A0892" w:rsidRDefault="005925D0" w:rsidP="005925D0">
      <w:pPr>
        <w:numPr>
          <w:ilvl w:val="0"/>
          <w:numId w:val="3"/>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sidRPr="009A0892">
        <w:rPr>
          <w:rFonts w:ascii="Arial" w:hAnsi="Arial" w:cs="Arial"/>
          <w:color w:val="010000"/>
          <w:sz w:val="20"/>
        </w:rPr>
        <w:t>Securities type: Corporate bond</w:t>
      </w:r>
    </w:p>
    <w:p w14:paraId="00000009" w14:textId="77777777" w:rsidR="00937768" w:rsidRPr="009A0892" w:rsidRDefault="005925D0" w:rsidP="005925D0">
      <w:pPr>
        <w:numPr>
          <w:ilvl w:val="0"/>
          <w:numId w:val="3"/>
        </w:numPr>
        <w:pBdr>
          <w:top w:val="nil"/>
          <w:left w:val="nil"/>
          <w:bottom w:val="nil"/>
          <w:right w:val="nil"/>
          <w:between w:val="nil"/>
        </w:pBdr>
        <w:tabs>
          <w:tab w:val="left" w:pos="155"/>
        </w:tabs>
        <w:spacing w:after="120" w:line="360" w:lineRule="auto"/>
        <w:jc w:val="both"/>
        <w:rPr>
          <w:rFonts w:ascii="Arial" w:eastAsia="Arial" w:hAnsi="Arial" w:cs="Arial"/>
          <w:color w:val="010000"/>
          <w:sz w:val="20"/>
          <w:szCs w:val="20"/>
        </w:rPr>
      </w:pPr>
      <w:r w:rsidRPr="009A0892">
        <w:rPr>
          <w:rFonts w:ascii="Arial" w:hAnsi="Arial" w:cs="Arial"/>
          <w:color w:val="010000"/>
          <w:sz w:val="20"/>
        </w:rPr>
        <w:t>Transaction par value: VND 100,000</w:t>
      </w:r>
    </w:p>
    <w:p w14:paraId="0000000A" w14:textId="77777777" w:rsidR="00937768" w:rsidRPr="009A0892" w:rsidRDefault="005925D0" w:rsidP="005925D0">
      <w:pPr>
        <w:numPr>
          <w:ilvl w:val="0"/>
          <w:numId w:val="3"/>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sidRPr="009A0892">
        <w:rPr>
          <w:rFonts w:ascii="Arial" w:hAnsi="Arial" w:cs="Arial"/>
          <w:color w:val="010000"/>
          <w:sz w:val="20"/>
        </w:rPr>
        <w:t>Term: 07 years</w:t>
      </w:r>
    </w:p>
    <w:p w14:paraId="0000000B" w14:textId="77777777" w:rsidR="00937768" w:rsidRPr="009A0892" w:rsidRDefault="005925D0" w:rsidP="005925D0">
      <w:pPr>
        <w:numPr>
          <w:ilvl w:val="0"/>
          <w:numId w:val="3"/>
        </w:numPr>
        <w:pBdr>
          <w:top w:val="nil"/>
          <w:left w:val="nil"/>
          <w:bottom w:val="nil"/>
          <w:right w:val="nil"/>
          <w:between w:val="nil"/>
        </w:pBdr>
        <w:tabs>
          <w:tab w:val="left" w:pos="144"/>
        </w:tabs>
        <w:spacing w:after="120" w:line="360" w:lineRule="auto"/>
        <w:jc w:val="both"/>
        <w:rPr>
          <w:rFonts w:ascii="Arial" w:eastAsia="Arial" w:hAnsi="Arial" w:cs="Arial"/>
          <w:color w:val="010000"/>
          <w:sz w:val="20"/>
          <w:szCs w:val="20"/>
        </w:rPr>
      </w:pPr>
      <w:r w:rsidRPr="009A0892">
        <w:rPr>
          <w:rFonts w:ascii="Arial" w:hAnsi="Arial" w:cs="Arial"/>
          <w:color w:val="010000"/>
          <w:sz w:val="20"/>
        </w:rPr>
        <w:t>Issue date: February 28, 2022</w:t>
      </w:r>
    </w:p>
    <w:p w14:paraId="0000000C" w14:textId="77777777" w:rsidR="00937768" w:rsidRPr="009A0892" w:rsidRDefault="005925D0" w:rsidP="005925D0">
      <w:pPr>
        <w:numPr>
          <w:ilvl w:val="0"/>
          <w:numId w:val="3"/>
        </w:numPr>
        <w:pBdr>
          <w:top w:val="nil"/>
          <w:left w:val="nil"/>
          <w:bottom w:val="nil"/>
          <w:right w:val="nil"/>
          <w:between w:val="nil"/>
        </w:pBdr>
        <w:tabs>
          <w:tab w:val="left" w:pos="148"/>
        </w:tabs>
        <w:spacing w:after="120" w:line="360" w:lineRule="auto"/>
        <w:jc w:val="both"/>
        <w:rPr>
          <w:rFonts w:ascii="Arial" w:eastAsia="Arial" w:hAnsi="Arial" w:cs="Arial"/>
          <w:color w:val="010000"/>
          <w:sz w:val="20"/>
          <w:szCs w:val="20"/>
        </w:rPr>
      </w:pPr>
      <w:r w:rsidRPr="009A0892">
        <w:rPr>
          <w:rFonts w:ascii="Arial" w:hAnsi="Arial" w:cs="Arial"/>
          <w:color w:val="010000"/>
          <w:sz w:val="20"/>
        </w:rPr>
        <w:t>Maturity date: February 28, 2029</w:t>
      </w:r>
    </w:p>
    <w:p w14:paraId="0000000D" w14:textId="77777777" w:rsidR="00937768" w:rsidRPr="009A0892" w:rsidRDefault="005925D0" w:rsidP="005925D0">
      <w:pPr>
        <w:numPr>
          <w:ilvl w:val="0"/>
          <w:numId w:val="3"/>
        </w:numPr>
        <w:pBdr>
          <w:top w:val="nil"/>
          <w:left w:val="nil"/>
          <w:bottom w:val="nil"/>
          <w:right w:val="nil"/>
          <w:between w:val="nil"/>
        </w:pBdr>
        <w:tabs>
          <w:tab w:val="left" w:pos="155"/>
        </w:tabs>
        <w:spacing w:after="120" w:line="360" w:lineRule="auto"/>
        <w:jc w:val="both"/>
        <w:rPr>
          <w:rFonts w:ascii="Arial" w:eastAsia="Arial" w:hAnsi="Arial" w:cs="Arial"/>
          <w:color w:val="010000"/>
          <w:sz w:val="20"/>
          <w:szCs w:val="20"/>
        </w:rPr>
      </w:pPr>
      <w:r w:rsidRPr="009A0892">
        <w:rPr>
          <w:rFonts w:ascii="Arial" w:hAnsi="Arial" w:cs="Arial"/>
          <w:color w:val="010000"/>
          <w:sz w:val="20"/>
        </w:rPr>
        <w:t>Interest rate: 9.3% per year</w:t>
      </w:r>
    </w:p>
    <w:p w14:paraId="0000000E" w14:textId="77777777" w:rsidR="00937768" w:rsidRPr="009A0892" w:rsidRDefault="005925D0" w:rsidP="005925D0">
      <w:pPr>
        <w:numPr>
          <w:ilvl w:val="0"/>
          <w:numId w:val="3"/>
        </w:numPr>
        <w:pBdr>
          <w:top w:val="nil"/>
          <w:left w:val="nil"/>
          <w:bottom w:val="nil"/>
          <w:right w:val="nil"/>
          <w:between w:val="nil"/>
        </w:pBdr>
        <w:tabs>
          <w:tab w:val="left" w:pos="126"/>
        </w:tabs>
        <w:spacing w:after="120" w:line="360" w:lineRule="auto"/>
        <w:jc w:val="both"/>
        <w:rPr>
          <w:rFonts w:ascii="Arial" w:eastAsia="Arial" w:hAnsi="Arial" w:cs="Arial"/>
          <w:color w:val="010000"/>
          <w:sz w:val="20"/>
          <w:szCs w:val="20"/>
        </w:rPr>
      </w:pPr>
      <w:r w:rsidRPr="009A0892">
        <w:rPr>
          <w:rFonts w:ascii="Arial" w:hAnsi="Arial" w:cs="Arial"/>
          <w:color w:val="010000"/>
          <w:sz w:val="20"/>
        </w:rPr>
        <w:t>Record date: February 19, 2024</w:t>
      </w:r>
    </w:p>
    <w:p w14:paraId="0000000F" w14:textId="77777777" w:rsidR="00937768" w:rsidRPr="009A0892" w:rsidRDefault="005925D0" w:rsidP="005925D0">
      <w:pPr>
        <w:numPr>
          <w:ilvl w:val="0"/>
          <w:numId w:val="3"/>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sidRPr="009A0892">
        <w:rPr>
          <w:rFonts w:ascii="Arial" w:hAnsi="Arial" w:cs="Arial"/>
          <w:color w:val="010000"/>
          <w:sz w:val="20"/>
        </w:rPr>
        <w:t>Reason and purpose:</w:t>
      </w:r>
    </w:p>
    <w:p w14:paraId="00000010" w14:textId="77777777" w:rsidR="00937768" w:rsidRPr="009A0892" w:rsidRDefault="005925D0" w:rsidP="005925D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A0892">
        <w:rPr>
          <w:rFonts w:ascii="Arial" w:hAnsi="Arial" w:cs="Arial"/>
          <w:color w:val="010000"/>
          <w:sz w:val="20"/>
        </w:rPr>
        <w:t>Pay interest for period 02 (from and including February 28, 2023 to and excluding February 28, 2024) of LPB122010 bonds;</w:t>
      </w:r>
    </w:p>
    <w:p w14:paraId="00000011" w14:textId="77777777" w:rsidR="00937768" w:rsidRPr="009A0892" w:rsidRDefault="005925D0" w:rsidP="005925D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A0892">
        <w:rPr>
          <w:rFonts w:ascii="Arial" w:hAnsi="Arial" w:cs="Arial"/>
          <w:color w:val="010000"/>
          <w:sz w:val="20"/>
        </w:rPr>
        <w:t>Pay principal of LPB122010 bonds due to full repurchase before the maturity date based on bond conditions and Board Resolution No. 153/2024/NQ-HDQT of LienViet Post Joint Stock Commercial Bank.</w:t>
      </w:r>
    </w:p>
    <w:p w14:paraId="00000012" w14:textId="77777777" w:rsidR="00937768" w:rsidRPr="009A0892" w:rsidRDefault="005925D0" w:rsidP="005925D0">
      <w:pPr>
        <w:numPr>
          <w:ilvl w:val="0"/>
          <w:numId w:val="4"/>
        </w:numPr>
        <w:pBdr>
          <w:top w:val="nil"/>
          <w:left w:val="nil"/>
          <w:bottom w:val="nil"/>
          <w:right w:val="nil"/>
          <w:between w:val="nil"/>
        </w:pBdr>
        <w:tabs>
          <w:tab w:val="left" w:pos="284"/>
          <w:tab w:val="left" w:pos="765"/>
        </w:tabs>
        <w:spacing w:after="120" w:line="360" w:lineRule="auto"/>
        <w:jc w:val="both"/>
        <w:rPr>
          <w:rFonts w:ascii="Arial" w:eastAsia="Arial" w:hAnsi="Arial" w:cs="Arial"/>
          <w:color w:val="010000"/>
          <w:sz w:val="20"/>
          <w:szCs w:val="20"/>
        </w:rPr>
      </w:pPr>
      <w:r w:rsidRPr="009A0892">
        <w:rPr>
          <w:rFonts w:ascii="Arial" w:hAnsi="Arial" w:cs="Arial"/>
          <w:color w:val="010000"/>
          <w:sz w:val="20"/>
        </w:rPr>
        <w:t>Specific contents:</w:t>
      </w:r>
    </w:p>
    <w:p w14:paraId="00000013" w14:textId="77777777" w:rsidR="00937768" w:rsidRPr="009A0892" w:rsidRDefault="005925D0" w:rsidP="005925D0">
      <w:pPr>
        <w:numPr>
          <w:ilvl w:val="0"/>
          <w:numId w:val="5"/>
        </w:numPr>
        <w:pBdr>
          <w:top w:val="nil"/>
          <w:left w:val="nil"/>
          <w:bottom w:val="nil"/>
          <w:right w:val="nil"/>
          <w:between w:val="nil"/>
        </w:pBdr>
        <w:tabs>
          <w:tab w:val="left" w:pos="284"/>
          <w:tab w:val="left" w:pos="858"/>
        </w:tabs>
        <w:spacing w:after="120" w:line="360" w:lineRule="auto"/>
        <w:jc w:val="both"/>
        <w:rPr>
          <w:rFonts w:ascii="Arial" w:eastAsia="Arial" w:hAnsi="Arial" w:cs="Arial"/>
          <w:color w:val="010000"/>
          <w:sz w:val="20"/>
          <w:szCs w:val="20"/>
        </w:rPr>
      </w:pPr>
      <w:r w:rsidRPr="009A0892">
        <w:rPr>
          <w:rFonts w:ascii="Arial" w:hAnsi="Arial" w:cs="Arial"/>
          <w:color w:val="010000"/>
          <w:sz w:val="20"/>
        </w:rPr>
        <w:t>Pay corporate bond interest:</w:t>
      </w:r>
    </w:p>
    <w:p w14:paraId="00000014" w14:textId="77777777" w:rsidR="00937768" w:rsidRPr="009A0892" w:rsidRDefault="005925D0" w:rsidP="005925D0">
      <w:pPr>
        <w:numPr>
          <w:ilvl w:val="0"/>
          <w:numId w:val="4"/>
        </w:numPr>
        <w:pBdr>
          <w:top w:val="nil"/>
          <w:left w:val="nil"/>
          <w:bottom w:val="nil"/>
          <w:right w:val="nil"/>
          <w:between w:val="nil"/>
        </w:pBdr>
        <w:tabs>
          <w:tab w:val="left" w:pos="284"/>
          <w:tab w:val="left" w:pos="862"/>
        </w:tabs>
        <w:spacing w:after="120" w:line="360" w:lineRule="auto"/>
        <w:jc w:val="both"/>
        <w:rPr>
          <w:rFonts w:ascii="Arial" w:eastAsia="Arial" w:hAnsi="Arial" w:cs="Arial"/>
          <w:color w:val="010000"/>
          <w:sz w:val="20"/>
          <w:szCs w:val="20"/>
        </w:rPr>
      </w:pPr>
      <w:r w:rsidRPr="009A0892">
        <w:rPr>
          <w:rFonts w:ascii="Arial" w:hAnsi="Arial" w:cs="Arial"/>
          <w:color w:val="010000"/>
          <w:sz w:val="20"/>
        </w:rPr>
        <w:t>Exercise rate: Bondholders receive VND 100,000 x 9.3% x 365(days)/365(days) = VND 9,300 for every bond they own.</w:t>
      </w:r>
    </w:p>
    <w:p w14:paraId="00000015" w14:textId="77777777" w:rsidR="00937768" w:rsidRPr="009A0892" w:rsidRDefault="005925D0" w:rsidP="005925D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A0892">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16" w14:textId="77777777" w:rsidR="00937768" w:rsidRPr="009A0892" w:rsidRDefault="005925D0" w:rsidP="005925D0">
      <w:pPr>
        <w:numPr>
          <w:ilvl w:val="0"/>
          <w:numId w:val="4"/>
        </w:numPr>
        <w:pBdr>
          <w:top w:val="nil"/>
          <w:left w:val="nil"/>
          <w:bottom w:val="nil"/>
          <w:right w:val="nil"/>
          <w:between w:val="nil"/>
        </w:pBdr>
        <w:tabs>
          <w:tab w:val="left" w:pos="284"/>
          <w:tab w:val="left" w:pos="768"/>
        </w:tabs>
        <w:spacing w:after="120" w:line="360" w:lineRule="auto"/>
        <w:jc w:val="both"/>
        <w:rPr>
          <w:rFonts w:ascii="Arial" w:eastAsia="Arial" w:hAnsi="Arial" w:cs="Arial"/>
          <w:color w:val="010000"/>
          <w:sz w:val="20"/>
          <w:szCs w:val="20"/>
        </w:rPr>
      </w:pPr>
      <w:r w:rsidRPr="009A0892">
        <w:rPr>
          <w:rFonts w:ascii="Arial" w:hAnsi="Arial" w:cs="Arial"/>
          <w:color w:val="010000"/>
          <w:sz w:val="20"/>
        </w:rPr>
        <w:t>Payment date: February 28, 2024.</w:t>
      </w:r>
    </w:p>
    <w:p w14:paraId="00000017" w14:textId="77777777" w:rsidR="00937768" w:rsidRPr="009A0892" w:rsidRDefault="005925D0" w:rsidP="005925D0">
      <w:pPr>
        <w:numPr>
          <w:ilvl w:val="0"/>
          <w:numId w:val="5"/>
        </w:numPr>
        <w:pBdr>
          <w:top w:val="nil"/>
          <w:left w:val="nil"/>
          <w:bottom w:val="nil"/>
          <w:right w:val="nil"/>
          <w:between w:val="nil"/>
        </w:pBdr>
        <w:tabs>
          <w:tab w:val="left" w:pos="284"/>
          <w:tab w:val="left" w:pos="862"/>
        </w:tabs>
        <w:spacing w:after="120" w:line="360" w:lineRule="auto"/>
        <w:jc w:val="both"/>
        <w:rPr>
          <w:rFonts w:ascii="Arial" w:eastAsia="Arial" w:hAnsi="Arial" w:cs="Arial"/>
          <w:color w:val="010000"/>
          <w:sz w:val="20"/>
          <w:szCs w:val="20"/>
        </w:rPr>
      </w:pPr>
      <w:r w:rsidRPr="009A0892">
        <w:rPr>
          <w:rFonts w:ascii="Arial" w:hAnsi="Arial" w:cs="Arial"/>
          <w:color w:val="010000"/>
          <w:sz w:val="20"/>
        </w:rPr>
        <w:t>Pay principal of corporate bonds due to full repurchase before the maturity date:</w:t>
      </w:r>
    </w:p>
    <w:p w14:paraId="00000018" w14:textId="77777777" w:rsidR="00937768" w:rsidRPr="009A0892" w:rsidRDefault="005925D0" w:rsidP="005925D0">
      <w:pPr>
        <w:numPr>
          <w:ilvl w:val="0"/>
          <w:numId w:val="4"/>
        </w:numPr>
        <w:pBdr>
          <w:top w:val="nil"/>
          <w:left w:val="nil"/>
          <w:bottom w:val="nil"/>
          <w:right w:val="nil"/>
          <w:between w:val="nil"/>
        </w:pBdr>
        <w:tabs>
          <w:tab w:val="left" w:pos="284"/>
          <w:tab w:val="left" w:pos="768"/>
        </w:tabs>
        <w:spacing w:after="120" w:line="360" w:lineRule="auto"/>
        <w:jc w:val="both"/>
        <w:rPr>
          <w:rFonts w:ascii="Arial" w:eastAsia="Arial" w:hAnsi="Arial" w:cs="Arial"/>
          <w:color w:val="010000"/>
          <w:sz w:val="20"/>
          <w:szCs w:val="20"/>
        </w:rPr>
      </w:pPr>
      <w:r w:rsidRPr="009A0892">
        <w:rPr>
          <w:rFonts w:ascii="Arial" w:hAnsi="Arial" w:cs="Arial"/>
          <w:color w:val="010000"/>
          <w:sz w:val="20"/>
        </w:rPr>
        <w:t>Expected number of bonds purchased by the Issuer: 16,022,095 bonds</w:t>
      </w:r>
    </w:p>
    <w:p w14:paraId="00000019" w14:textId="77777777" w:rsidR="00937768" w:rsidRPr="009A0892" w:rsidRDefault="005925D0" w:rsidP="005925D0">
      <w:pPr>
        <w:numPr>
          <w:ilvl w:val="0"/>
          <w:numId w:val="4"/>
        </w:numPr>
        <w:pBdr>
          <w:top w:val="nil"/>
          <w:left w:val="nil"/>
          <w:bottom w:val="nil"/>
          <w:right w:val="nil"/>
          <w:between w:val="nil"/>
        </w:pBdr>
        <w:tabs>
          <w:tab w:val="left" w:pos="284"/>
          <w:tab w:val="left" w:pos="858"/>
        </w:tabs>
        <w:spacing w:after="120" w:line="360" w:lineRule="auto"/>
        <w:jc w:val="both"/>
        <w:rPr>
          <w:rFonts w:ascii="Arial" w:eastAsia="Arial" w:hAnsi="Arial" w:cs="Arial"/>
          <w:color w:val="010000"/>
          <w:sz w:val="20"/>
          <w:szCs w:val="20"/>
        </w:rPr>
      </w:pPr>
      <w:r w:rsidRPr="009A0892">
        <w:rPr>
          <w:rFonts w:ascii="Arial" w:hAnsi="Arial" w:cs="Arial"/>
          <w:color w:val="010000"/>
          <w:sz w:val="20"/>
        </w:rPr>
        <w:lastRenderedPageBreak/>
        <w:t>Exercise rate: 100%</w:t>
      </w:r>
    </w:p>
    <w:p w14:paraId="0000001A" w14:textId="77777777" w:rsidR="00937768" w:rsidRPr="009A0892" w:rsidRDefault="005925D0" w:rsidP="005925D0">
      <w:pPr>
        <w:numPr>
          <w:ilvl w:val="0"/>
          <w:numId w:val="4"/>
        </w:numPr>
        <w:pBdr>
          <w:top w:val="nil"/>
          <w:left w:val="nil"/>
          <w:bottom w:val="nil"/>
          <w:right w:val="nil"/>
          <w:between w:val="nil"/>
        </w:pBdr>
        <w:tabs>
          <w:tab w:val="left" w:pos="284"/>
          <w:tab w:val="left" w:pos="858"/>
        </w:tabs>
        <w:spacing w:after="120" w:line="360" w:lineRule="auto"/>
        <w:jc w:val="both"/>
        <w:rPr>
          <w:rFonts w:ascii="Arial" w:eastAsia="Arial" w:hAnsi="Arial" w:cs="Arial"/>
          <w:color w:val="010000"/>
          <w:sz w:val="20"/>
          <w:szCs w:val="20"/>
        </w:rPr>
      </w:pPr>
      <w:r w:rsidRPr="009A0892">
        <w:rPr>
          <w:rFonts w:ascii="Arial" w:hAnsi="Arial" w:cs="Arial"/>
          <w:color w:val="010000"/>
          <w:sz w:val="20"/>
        </w:rPr>
        <w:t>Principal payment due to repurchase before the maturity date: VND 100,000/bond.</w:t>
      </w:r>
    </w:p>
    <w:p w14:paraId="0000001B" w14:textId="77777777" w:rsidR="00937768" w:rsidRPr="009A0892" w:rsidRDefault="005925D0" w:rsidP="005925D0">
      <w:pPr>
        <w:numPr>
          <w:ilvl w:val="0"/>
          <w:numId w:val="4"/>
        </w:numPr>
        <w:pBdr>
          <w:top w:val="nil"/>
          <w:left w:val="nil"/>
          <w:bottom w:val="nil"/>
          <w:right w:val="nil"/>
          <w:between w:val="nil"/>
        </w:pBdr>
        <w:tabs>
          <w:tab w:val="left" w:pos="284"/>
          <w:tab w:val="left" w:pos="858"/>
        </w:tabs>
        <w:spacing w:after="120" w:line="360" w:lineRule="auto"/>
        <w:jc w:val="both"/>
        <w:rPr>
          <w:rFonts w:ascii="Arial" w:eastAsia="Arial" w:hAnsi="Arial" w:cs="Arial"/>
          <w:color w:val="010000"/>
          <w:sz w:val="20"/>
          <w:szCs w:val="20"/>
        </w:rPr>
      </w:pPr>
      <w:r w:rsidRPr="009A0892">
        <w:rPr>
          <w:rFonts w:ascii="Arial" w:hAnsi="Arial" w:cs="Arial"/>
          <w:color w:val="010000"/>
          <w:sz w:val="20"/>
        </w:rPr>
        <w:t>Payment date: February 28, 2024</w:t>
      </w:r>
    </w:p>
    <w:p w14:paraId="0000001C" w14:textId="77777777" w:rsidR="00937768" w:rsidRPr="009A0892" w:rsidRDefault="005925D0" w:rsidP="005925D0">
      <w:pPr>
        <w:numPr>
          <w:ilvl w:val="0"/>
          <w:numId w:val="4"/>
        </w:numPr>
        <w:pBdr>
          <w:top w:val="nil"/>
          <w:left w:val="nil"/>
          <w:bottom w:val="nil"/>
          <w:right w:val="nil"/>
          <w:between w:val="nil"/>
        </w:pBdr>
        <w:tabs>
          <w:tab w:val="left" w:pos="284"/>
          <w:tab w:val="left" w:pos="836"/>
        </w:tabs>
        <w:spacing w:after="120" w:line="360" w:lineRule="auto"/>
        <w:jc w:val="both"/>
        <w:rPr>
          <w:rFonts w:ascii="Arial" w:eastAsia="Arial" w:hAnsi="Arial" w:cs="Arial"/>
          <w:color w:val="010000"/>
          <w:sz w:val="20"/>
          <w:szCs w:val="20"/>
        </w:rPr>
      </w:pPr>
      <w:r w:rsidRPr="009A0892">
        <w:rPr>
          <w:rFonts w:ascii="Arial" w:hAnsi="Arial" w:cs="Arial"/>
          <w:color w:val="010000"/>
          <w:sz w:val="20"/>
        </w:rPr>
        <w:t>Time to register to resell bonds to the Issuer: None. According to the bond conditions, the bondholder is obligated to resell all bonds to the Issuer. All bonds after repurchase will be canceled.</w:t>
      </w:r>
    </w:p>
    <w:p w14:paraId="0000001D" w14:textId="77777777" w:rsidR="00937768" w:rsidRPr="009A0892" w:rsidRDefault="005925D0" w:rsidP="005925D0">
      <w:pPr>
        <w:numPr>
          <w:ilvl w:val="0"/>
          <w:numId w:val="4"/>
        </w:numPr>
        <w:pBdr>
          <w:top w:val="nil"/>
          <w:left w:val="nil"/>
          <w:bottom w:val="nil"/>
          <w:right w:val="nil"/>
          <w:between w:val="nil"/>
        </w:pBdr>
        <w:tabs>
          <w:tab w:val="left" w:pos="284"/>
          <w:tab w:val="left" w:pos="862"/>
        </w:tabs>
        <w:spacing w:after="120" w:line="360" w:lineRule="auto"/>
        <w:jc w:val="both"/>
        <w:rPr>
          <w:rFonts w:ascii="Arial" w:eastAsia="Arial" w:hAnsi="Arial" w:cs="Arial"/>
          <w:color w:val="010000"/>
          <w:sz w:val="20"/>
          <w:szCs w:val="20"/>
        </w:rPr>
      </w:pPr>
      <w:r w:rsidRPr="009A0892">
        <w:rPr>
          <w:rFonts w:ascii="Arial" w:hAnsi="Arial" w:cs="Arial"/>
          <w:color w:val="010000"/>
          <w:sz w:val="20"/>
        </w:rPr>
        <w:t>Venue:</w:t>
      </w:r>
    </w:p>
    <w:p w14:paraId="0000001E" w14:textId="77777777" w:rsidR="00937768" w:rsidRPr="009A0892" w:rsidRDefault="005925D0" w:rsidP="005925D0">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A0892">
        <w:rPr>
          <w:rFonts w:ascii="Arial" w:hAnsi="Arial" w:cs="Arial"/>
          <w:color w:val="010000"/>
          <w:sz w:val="20"/>
        </w:rPr>
        <w:t>For deposited securities: Owners carry out procedures to receive bond pricipal and interest at Depository Members where depository accounts are opened.</w:t>
      </w:r>
    </w:p>
    <w:p w14:paraId="0000001F" w14:textId="77777777" w:rsidR="00937768" w:rsidRPr="009A0892" w:rsidRDefault="005925D0" w:rsidP="005925D0">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9A0892">
        <w:rPr>
          <w:rFonts w:ascii="Arial" w:hAnsi="Arial" w:cs="Arial"/>
          <w:color w:val="010000"/>
          <w:sz w:val="20"/>
        </w:rPr>
        <w:t>For undeposited shares: The Issuer transfers bond interest and principal to the Bond Owner's Registered Account on February 28, 2024.</w:t>
      </w:r>
    </w:p>
    <w:sectPr w:rsidR="00937768" w:rsidRPr="009A0892" w:rsidSect="005E466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B68"/>
    <w:multiLevelType w:val="multilevel"/>
    <w:tmpl w:val="C7B63D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9D4D03"/>
    <w:multiLevelType w:val="multilevel"/>
    <w:tmpl w:val="7F58BC7A"/>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26E97"/>
    <w:multiLevelType w:val="multilevel"/>
    <w:tmpl w:val="DFE29F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73C2A2C"/>
    <w:multiLevelType w:val="multilevel"/>
    <w:tmpl w:val="202EE77C"/>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456376"/>
    <w:multiLevelType w:val="multilevel"/>
    <w:tmpl w:val="C0C4A6F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36271906">
    <w:abstractNumId w:val="3"/>
  </w:num>
  <w:num w:numId="2" w16cid:durableId="1851606583">
    <w:abstractNumId w:val="1"/>
  </w:num>
  <w:num w:numId="3" w16cid:durableId="1554661541">
    <w:abstractNumId w:val="2"/>
  </w:num>
  <w:num w:numId="4" w16cid:durableId="1716419105">
    <w:abstractNumId w:val="0"/>
  </w:num>
  <w:num w:numId="5" w16cid:durableId="1277787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68"/>
    <w:rsid w:val="005925D0"/>
    <w:rsid w:val="005E466A"/>
    <w:rsid w:val="00937768"/>
    <w:rsid w:val="009A0892"/>
    <w:rsid w:val="00F6638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236C7-3E7D-46F6-A596-1605A7D3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Verdana" w:eastAsia="Verdana" w:hAnsi="Verdana" w:cs="Verdana"/>
      <w:b w:val="0"/>
      <w:bCs w:val="0"/>
      <w:i w:val="0"/>
      <w:iCs w:val="0"/>
      <w:smallCaps w:val="0"/>
      <w:strike w:val="0"/>
      <w:color w:val="88234A"/>
      <w:sz w:val="14"/>
      <w:szCs w:val="1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88234A"/>
      <w:w w:val="8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Vnbnnidung30">
    <w:name w:val="Văn bản nội dung (3)"/>
    <w:basedOn w:val="Normal"/>
    <w:link w:val="Vnbnnidung3"/>
    <w:pPr>
      <w:spacing w:line="209" w:lineRule="auto"/>
      <w:ind w:left="790"/>
    </w:pPr>
    <w:rPr>
      <w:rFonts w:ascii="Verdana" w:eastAsia="Verdana" w:hAnsi="Verdana" w:cs="Verdana"/>
      <w:color w:val="88234A"/>
      <w:sz w:val="14"/>
      <w:szCs w:val="14"/>
    </w:rPr>
  </w:style>
  <w:style w:type="paragraph" w:customStyle="1" w:styleId="Vnbnnidung40">
    <w:name w:val="Văn bản nội dung (4)"/>
    <w:basedOn w:val="Normal"/>
    <w:link w:val="Vnbnnidung4"/>
    <w:rPr>
      <w:rFonts w:ascii="Arial" w:eastAsia="Arial" w:hAnsi="Arial" w:cs="Arial"/>
      <w:color w:val="88234A"/>
      <w:w w:val="80"/>
      <w:sz w:val="28"/>
      <w:szCs w:val="28"/>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CZd0WMeAmR7hFjtGImt8LPgJHg==">CgMxLjAyCGguZ2pkZ3hzOAByITF5bkNEdTBVOUlfSUdlcV95YmpzSnk4RzdXYnNQR3UweQ==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ales_0912986996@centeronline.edu.vn MSale@123</cp:lastModifiedBy>
  <cp:revision>4</cp:revision>
  <dcterms:created xsi:type="dcterms:W3CDTF">2024-02-06T04:36:00Z</dcterms:created>
  <dcterms:modified xsi:type="dcterms:W3CDTF">2024-02-07T02:09:00Z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6ec7dfc78683511debe3ced8a11b8ee078003edb14dedbddde0e9c2ec2f81925</vt:lpwstr>
  </property>
</Properties>
</file>