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16F7" w:rsidRPr="0027035A" w:rsidRDefault="005955A6" w:rsidP="005955A6">
      <w:pPr>
        <w:pBdr>
          <w:top w:val="nil"/>
          <w:left w:val="nil"/>
          <w:bottom w:val="nil"/>
          <w:right w:val="nil"/>
          <w:between w:val="nil"/>
        </w:pBdr>
        <w:spacing w:after="120" w:line="360" w:lineRule="auto"/>
        <w:rPr>
          <w:rFonts w:ascii="Arial" w:eastAsia="Arial" w:hAnsi="Arial" w:cs="Arial"/>
          <w:b/>
          <w:color w:val="010000"/>
          <w:sz w:val="20"/>
          <w:szCs w:val="20"/>
        </w:rPr>
      </w:pPr>
      <w:r w:rsidRPr="0027035A">
        <w:rPr>
          <w:rFonts w:ascii="Arial" w:hAnsi="Arial" w:cs="Arial"/>
          <w:b/>
          <w:bCs/>
          <w:color w:val="010000"/>
          <w:sz w:val="20"/>
        </w:rPr>
        <w:t>VIC121005:</w:t>
      </w:r>
      <w:r w:rsidRPr="0027035A">
        <w:rPr>
          <w:rFonts w:ascii="Arial" w:hAnsi="Arial" w:cs="Arial"/>
          <w:b/>
          <w:color w:val="010000"/>
          <w:sz w:val="20"/>
        </w:rPr>
        <w:t xml:space="preserve"> Notice on the record date to exercise the rights to pay interest in the 12th period of securities code VIC121005</w:t>
      </w:r>
    </w:p>
    <w:p w14:paraId="00000002" w14:textId="6FFCA9E0" w:rsidR="00E916F7" w:rsidRPr="0027035A" w:rsidRDefault="005955A6" w:rsidP="005955A6">
      <w:pPr>
        <w:pBdr>
          <w:top w:val="nil"/>
          <w:left w:val="nil"/>
          <w:bottom w:val="nil"/>
          <w:right w:val="nil"/>
          <w:between w:val="nil"/>
        </w:pBdr>
        <w:spacing w:after="120" w:line="360" w:lineRule="auto"/>
        <w:rPr>
          <w:rFonts w:ascii="Arial" w:eastAsia="Arial" w:hAnsi="Arial" w:cs="Arial"/>
          <w:color w:val="010000"/>
          <w:sz w:val="20"/>
          <w:szCs w:val="20"/>
        </w:rPr>
      </w:pPr>
      <w:r w:rsidRPr="0027035A">
        <w:rPr>
          <w:rFonts w:ascii="Arial" w:hAnsi="Arial" w:cs="Arial"/>
          <w:color w:val="010000"/>
          <w:sz w:val="20"/>
        </w:rPr>
        <w:t xml:space="preserve">On January 26, 2024, </w:t>
      </w:r>
      <w:proofErr w:type="spellStart"/>
      <w:r w:rsidRPr="0027035A">
        <w:rPr>
          <w:rFonts w:ascii="Arial" w:hAnsi="Arial" w:cs="Arial"/>
          <w:color w:val="010000"/>
          <w:sz w:val="20"/>
        </w:rPr>
        <w:t>Vingroup</w:t>
      </w:r>
      <w:proofErr w:type="spellEnd"/>
      <w:r w:rsidRPr="0027035A">
        <w:rPr>
          <w:rFonts w:ascii="Arial" w:hAnsi="Arial" w:cs="Arial"/>
          <w:color w:val="010000"/>
          <w:sz w:val="20"/>
        </w:rPr>
        <w:t xml:space="preserve"> Company – JSC announced Notice No. 24.04</w:t>
      </w:r>
      <w:r w:rsidR="00C4778E" w:rsidRPr="0027035A">
        <w:rPr>
          <w:rFonts w:ascii="Arial" w:hAnsi="Arial" w:cs="Arial"/>
          <w:color w:val="010000"/>
          <w:sz w:val="20"/>
        </w:rPr>
        <w:t>/CV/</w:t>
      </w:r>
      <w:r w:rsidRPr="0027035A">
        <w:rPr>
          <w:rFonts w:ascii="Arial" w:hAnsi="Arial" w:cs="Arial"/>
          <w:color w:val="010000"/>
          <w:sz w:val="20"/>
        </w:rPr>
        <w:t>KT</w:t>
      </w:r>
      <w:r w:rsidR="00C4778E" w:rsidRPr="0027035A">
        <w:rPr>
          <w:rFonts w:ascii="Arial" w:hAnsi="Arial" w:cs="Arial"/>
          <w:color w:val="010000"/>
          <w:sz w:val="20"/>
        </w:rPr>
        <w:t>-VGR</w:t>
      </w:r>
      <w:r w:rsidRPr="0027035A">
        <w:rPr>
          <w:rFonts w:ascii="Arial" w:hAnsi="Arial" w:cs="Arial"/>
          <w:color w:val="010000"/>
          <w:sz w:val="20"/>
        </w:rPr>
        <w:t xml:space="preserve"> on the record date to exercise the rights to pay interest in the </w:t>
      </w:r>
      <w:r w:rsidR="00C4778E" w:rsidRPr="0027035A">
        <w:rPr>
          <w:rFonts w:ascii="Arial" w:hAnsi="Arial" w:cs="Arial"/>
          <w:color w:val="010000"/>
          <w:sz w:val="20"/>
        </w:rPr>
        <w:t>12th period</w:t>
      </w:r>
      <w:r w:rsidRPr="0027035A">
        <w:rPr>
          <w:rFonts w:ascii="Arial" w:hAnsi="Arial" w:cs="Arial"/>
          <w:color w:val="010000"/>
          <w:sz w:val="20"/>
        </w:rPr>
        <w:t xml:space="preserve"> and bond principal of securities code VIC121005 as follows:</w:t>
      </w:r>
    </w:p>
    <w:p w14:paraId="00000003" w14:textId="46B99CDA" w:rsidR="00E916F7" w:rsidRPr="007A513A" w:rsidRDefault="005955A6" w:rsidP="007A513A">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bookmarkStart w:id="0" w:name="_GoBack"/>
      <w:r w:rsidRPr="007A513A">
        <w:rPr>
          <w:rFonts w:ascii="Arial" w:hAnsi="Arial" w:cs="Arial"/>
          <w:color w:val="010000"/>
          <w:sz w:val="20"/>
        </w:rPr>
        <w:t>Securities name: VICB2124002</w:t>
      </w:r>
      <w:r w:rsidR="00C4778E" w:rsidRPr="007A513A">
        <w:rPr>
          <w:rFonts w:ascii="Arial" w:hAnsi="Arial" w:cs="Arial"/>
          <w:color w:val="010000"/>
          <w:sz w:val="20"/>
        </w:rPr>
        <w:t xml:space="preserve"> Bond</w:t>
      </w:r>
    </w:p>
    <w:p w14:paraId="00000004" w14:textId="77777777" w:rsidR="00E916F7" w:rsidRPr="007A513A" w:rsidRDefault="005955A6" w:rsidP="007A513A">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7A513A">
        <w:rPr>
          <w:rFonts w:ascii="Arial" w:hAnsi="Arial" w:cs="Arial"/>
          <w:color w:val="010000"/>
          <w:sz w:val="20"/>
        </w:rPr>
        <w:t>Securities code: VIC121005</w:t>
      </w:r>
    </w:p>
    <w:p w14:paraId="00000005" w14:textId="77777777" w:rsidR="00E916F7" w:rsidRPr="007A513A" w:rsidRDefault="005955A6" w:rsidP="007A513A">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7A513A">
        <w:rPr>
          <w:rFonts w:ascii="Arial" w:hAnsi="Arial" w:cs="Arial"/>
          <w:color w:val="010000"/>
          <w:sz w:val="20"/>
        </w:rPr>
        <w:t xml:space="preserve">Securities type: Corporate bond </w:t>
      </w:r>
    </w:p>
    <w:p w14:paraId="00000006" w14:textId="77777777" w:rsidR="00E916F7" w:rsidRPr="007A513A" w:rsidRDefault="005955A6" w:rsidP="007A513A">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7A513A">
        <w:rPr>
          <w:rFonts w:ascii="Arial" w:hAnsi="Arial" w:cs="Arial"/>
          <w:color w:val="010000"/>
          <w:sz w:val="20"/>
        </w:rPr>
        <w:t>Transaction par value: VND 100,000</w:t>
      </w:r>
    </w:p>
    <w:p w14:paraId="00000007" w14:textId="77777777" w:rsidR="00E916F7" w:rsidRPr="007A513A" w:rsidRDefault="005955A6" w:rsidP="007A513A">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7A513A">
        <w:rPr>
          <w:rFonts w:ascii="Arial" w:hAnsi="Arial" w:cs="Arial"/>
          <w:color w:val="010000"/>
          <w:sz w:val="20"/>
        </w:rPr>
        <w:t>Exchange: HNX</w:t>
      </w:r>
    </w:p>
    <w:p w14:paraId="00000008" w14:textId="77777777" w:rsidR="00E916F7" w:rsidRPr="007A513A" w:rsidRDefault="005955A6" w:rsidP="007A513A">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7A513A">
        <w:rPr>
          <w:rFonts w:ascii="Arial" w:hAnsi="Arial" w:cs="Arial"/>
          <w:color w:val="010000"/>
          <w:sz w:val="20"/>
        </w:rPr>
        <w:t>Record date: February 26, 2024</w:t>
      </w:r>
    </w:p>
    <w:bookmarkEnd w:id="0"/>
    <w:p w14:paraId="00000009" w14:textId="77777777" w:rsidR="00E916F7" w:rsidRPr="0027035A" w:rsidRDefault="005955A6" w:rsidP="005955A6">
      <w:pPr>
        <w:numPr>
          <w:ilvl w:val="0"/>
          <w:numId w:val="5"/>
        </w:numPr>
        <w:pBdr>
          <w:top w:val="nil"/>
          <w:left w:val="nil"/>
          <w:bottom w:val="nil"/>
          <w:right w:val="nil"/>
          <w:between w:val="nil"/>
        </w:pBdr>
        <w:tabs>
          <w:tab w:val="left" w:pos="711"/>
        </w:tabs>
        <w:spacing w:after="120" w:line="360" w:lineRule="auto"/>
        <w:rPr>
          <w:rFonts w:ascii="Arial" w:eastAsia="Arial" w:hAnsi="Arial" w:cs="Arial"/>
          <w:color w:val="010000"/>
          <w:sz w:val="20"/>
          <w:szCs w:val="20"/>
        </w:rPr>
      </w:pPr>
      <w:r w:rsidRPr="0027035A">
        <w:rPr>
          <w:rFonts w:ascii="Arial" w:hAnsi="Arial" w:cs="Arial"/>
          <w:color w:val="010000"/>
          <w:sz w:val="20"/>
        </w:rPr>
        <w:t>Reason and purpose</w:t>
      </w:r>
    </w:p>
    <w:p w14:paraId="0000000A" w14:textId="039D6B40" w:rsidR="00E916F7" w:rsidRPr="0027035A" w:rsidRDefault="005955A6" w:rsidP="005955A6">
      <w:pPr>
        <w:pBdr>
          <w:top w:val="nil"/>
          <w:left w:val="nil"/>
          <w:bottom w:val="nil"/>
          <w:right w:val="nil"/>
          <w:between w:val="nil"/>
        </w:pBdr>
        <w:spacing w:after="120" w:line="360" w:lineRule="auto"/>
        <w:rPr>
          <w:rFonts w:ascii="Arial" w:eastAsia="Arial" w:hAnsi="Arial" w:cs="Arial"/>
          <w:color w:val="010000"/>
          <w:sz w:val="20"/>
          <w:szCs w:val="20"/>
        </w:rPr>
      </w:pPr>
      <w:r w:rsidRPr="0027035A">
        <w:rPr>
          <w:rFonts w:ascii="Arial" w:hAnsi="Arial" w:cs="Arial"/>
          <w:color w:val="010000"/>
          <w:sz w:val="20"/>
        </w:rPr>
        <w:t xml:space="preserve">Payment of interest for </w:t>
      </w:r>
      <w:r w:rsidR="00C4778E" w:rsidRPr="0027035A">
        <w:rPr>
          <w:rFonts w:ascii="Arial" w:hAnsi="Arial" w:cs="Arial"/>
          <w:color w:val="010000"/>
          <w:sz w:val="20"/>
        </w:rPr>
        <w:t>the 12th period</w:t>
      </w:r>
      <w:r w:rsidRPr="0027035A">
        <w:rPr>
          <w:rFonts w:ascii="Arial" w:hAnsi="Arial" w:cs="Arial"/>
          <w:color w:val="010000"/>
          <w:sz w:val="20"/>
        </w:rPr>
        <w:t xml:space="preserve"> (from and including December 11, 2023 to and excluding March 11, 2024) and bond principal.</w:t>
      </w:r>
    </w:p>
    <w:p w14:paraId="0000000B" w14:textId="77777777" w:rsidR="00E916F7" w:rsidRPr="0027035A" w:rsidRDefault="005955A6" w:rsidP="005955A6">
      <w:pPr>
        <w:numPr>
          <w:ilvl w:val="0"/>
          <w:numId w:val="5"/>
        </w:numPr>
        <w:pBdr>
          <w:top w:val="nil"/>
          <w:left w:val="nil"/>
          <w:bottom w:val="nil"/>
          <w:right w:val="nil"/>
          <w:between w:val="nil"/>
        </w:pBdr>
        <w:tabs>
          <w:tab w:val="left" w:pos="711"/>
        </w:tabs>
        <w:spacing w:after="120" w:line="360" w:lineRule="auto"/>
        <w:rPr>
          <w:rFonts w:ascii="Arial" w:eastAsia="Arial" w:hAnsi="Arial" w:cs="Arial"/>
          <w:color w:val="010000"/>
          <w:sz w:val="20"/>
          <w:szCs w:val="20"/>
        </w:rPr>
      </w:pPr>
      <w:r w:rsidRPr="0027035A">
        <w:rPr>
          <w:rFonts w:ascii="Arial" w:hAnsi="Arial" w:cs="Arial"/>
          <w:color w:val="010000"/>
          <w:sz w:val="20"/>
        </w:rPr>
        <w:t>Specific content</w:t>
      </w:r>
    </w:p>
    <w:p w14:paraId="0000000C" w14:textId="77777777" w:rsidR="00E916F7" w:rsidRPr="0027035A" w:rsidRDefault="005955A6" w:rsidP="005955A6">
      <w:pPr>
        <w:pBdr>
          <w:top w:val="nil"/>
          <w:left w:val="nil"/>
          <w:bottom w:val="nil"/>
          <w:right w:val="nil"/>
          <w:between w:val="nil"/>
        </w:pBdr>
        <w:spacing w:after="120" w:line="360" w:lineRule="auto"/>
        <w:rPr>
          <w:rFonts w:ascii="Arial" w:eastAsia="Arial" w:hAnsi="Arial" w:cs="Arial"/>
          <w:color w:val="010000"/>
          <w:sz w:val="20"/>
          <w:szCs w:val="20"/>
        </w:rPr>
      </w:pPr>
      <w:r w:rsidRPr="0027035A">
        <w:rPr>
          <w:rFonts w:ascii="Arial" w:hAnsi="Arial" w:cs="Arial"/>
          <w:color w:val="010000"/>
          <w:sz w:val="20"/>
        </w:rPr>
        <w:t>Pay corporate bond interest and principal in cash:</w:t>
      </w:r>
    </w:p>
    <w:p w14:paraId="0000000D" w14:textId="77777777" w:rsidR="00E916F7" w:rsidRPr="0027035A" w:rsidRDefault="005955A6" w:rsidP="005955A6">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Interest rate: 9.975%/year;</w:t>
      </w:r>
    </w:p>
    <w:p w14:paraId="0000000E" w14:textId="77777777" w:rsidR="00E916F7" w:rsidRPr="0027035A" w:rsidRDefault="005955A6" w:rsidP="005955A6">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Exercise rate:</w:t>
      </w:r>
    </w:p>
    <w:p w14:paraId="0000000F" w14:textId="77777777" w:rsidR="00E916F7" w:rsidRPr="0027035A" w:rsidRDefault="005955A6" w:rsidP="005955A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Receive VND 102,486.918 for each bond. In which:</w:t>
      </w:r>
    </w:p>
    <w:p w14:paraId="00000010" w14:textId="77777777" w:rsidR="00E916F7" w:rsidRPr="0027035A" w:rsidRDefault="005955A6" w:rsidP="005955A6">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The payment interest is calculated according to the formula equal to VND 100,000 X 9.975% X 91 (days)/365 (days), rounded to 3 decimal places.</w:t>
      </w:r>
    </w:p>
    <w:p w14:paraId="00000011" w14:textId="77777777" w:rsidR="00E916F7" w:rsidRPr="0027035A" w:rsidRDefault="005955A6" w:rsidP="005955A6">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 xml:space="preserve">Principal of 1 bond: VND 100,000. </w:t>
      </w:r>
    </w:p>
    <w:p w14:paraId="00000012" w14:textId="79E79532" w:rsidR="00E916F7" w:rsidRPr="0027035A" w:rsidRDefault="005955A6" w:rsidP="005955A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The total amount of bond interest and principal actually received by bond</w:t>
      </w:r>
      <w:r w:rsidR="00C4778E" w:rsidRPr="0027035A">
        <w:rPr>
          <w:rFonts w:ascii="Arial" w:hAnsi="Arial" w:cs="Arial"/>
          <w:color w:val="010000"/>
          <w:sz w:val="20"/>
        </w:rPr>
        <w:t>holders</w:t>
      </w:r>
      <w:r w:rsidRPr="0027035A">
        <w:rPr>
          <w:rFonts w:ascii="Arial" w:hAnsi="Arial" w:cs="Arial"/>
          <w:color w:val="010000"/>
          <w:sz w:val="20"/>
        </w:rPr>
        <w:t xml:space="preserve"> will be rounded to the unit (if the first decimal place is equal to or greater than 5, it is rounded up, if the first decimal place is less than 5, it is canceled);</w:t>
      </w:r>
    </w:p>
    <w:p w14:paraId="00000013" w14:textId="4453A5A9" w:rsidR="00E916F7" w:rsidRPr="0027035A" w:rsidRDefault="005955A6" w:rsidP="005955A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Payment date: March 11, 2024</w:t>
      </w:r>
      <w:r w:rsidR="00C4778E" w:rsidRPr="0027035A">
        <w:rPr>
          <w:rFonts w:ascii="Arial" w:hAnsi="Arial" w:cs="Arial"/>
          <w:color w:val="010000"/>
          <w:sz w:val="20"/>
        </w:rPr>
        <w:t>.</w:t>
      </w:r>
    </w:p>
    <w:p w14:paraId="00000014" w14:textId="77777777" w:rsidR="00E916F7" w:rsidRPr="0027035A" w:rsidRDefault="005955A6" w:rsidP="005955A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Venue:</w:t>
      </w:r>
    </w:p>
    <w:p w14:paraId="00000015" w14:textId="77777777" w:rsidR="00E916F7" w:rsidRPr="0027035A" w:rsidRDefault="005955A6" w:rsidP="005955A6">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For deposited securities: Owners carry out procedures to receive interest and principal of corporate bonds at depository members where depository accounts are opened;</w:t>
      </w:r>
    </w:p>
    <w:p w14:paraId="00000016" w14:textId="77777777" w:rsidR="00E916F7" w:rsidRPr="0027035A" w:rsidRDefault="005955A6" w:rsidP="005955A6">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7035A">
        <w:rPr>
          <w:rFonts w:ascii="Arial" w:hAnsi="Arial" w:cs="Arial"/>
          <w:color w:val="010000"/>
          <w:sz w:val="20"/>
        </w:rPr>
        <w:t xml:space="preserve">For </w:t>
      </w:r>
      <w:proofErr w:type="spellStart"/>
      <w:r w:rsidRPr="0027035A">
        <w:rPr>
          <w:rFonts w:ascii="Arial" w:hAnsi="Arial" w:cs="Arial"/>
          <w:color w:val="010000"/>
          <w:sz w:val="20"/>
        </w:rPr>
        <w:t>undeposited</w:t>
      </w:r>
      <w:proofErr w:type="spellEnd"/>
      <w:r w:rsidRPr="0027035A">
        <w:rPr>
          <w:rFonts w:ascii="Arial" w:hAnsi="Arial" w:cs="Arial"/>
          <w:color w:val="010000"/>
          <w:sz w:val="20"/>
        </w:rPr>
        <w:t xml:space="preserve"> securities: Interest and principal of corporate bonds will be paid to the accounts registered by owners with </w:t>
      </w:r>
      <w:proofErr w:type="spellStart"/>
      <w:r w:rsidRPr="0027035A">
        <w:rPr>
          <w:rFonts w:ascii="Arial" w:hAnsi="Arial" w:cs="Arial"/>
          <w:color w:val="010000"/>
          <w:sz w:val="20"/>
        </w:rPr>
        <w:t>Techcom</w:t>
      </w:r>
      <w:proofErr w:type="spellEnd"/>
      <w:r w:rsidRPr="0027035A">
        <w:rPr>
          <w:rFonts w:ascii="Arial" w:hAnsi="Arial" w:cs="Arial"/>
          <w:color w:val="010000"/>
          <w:sz w:val="20"/>
        </w:rPr>
        <w:t xml:space="preserve"> Securities Joint Stock Company on March 11, 2024.</w:t>
      </w:r>
    </w:p>
    <w:sectPr w:rsidR="00E916F7" w:rsidRPr="0027035A" w:rsidSect="005955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EEC"/>
    <w:multiLevelType w:val="multilevel"/>
    <w:tmpl w:val="51C2E3E8"/>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16CE5"/>
    <w:multiLevelType w:val="multilevel"/>
    <w:tmpl w:val="D472A2E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E2365F"/>
    <w:multiLevelType w:val="multilevel"/>
    <w:tmpl w:val="39AA8B1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8F592F"/>
    <w:multiLevelType w:val="multilevel"/>
    <w:tmpl w:val="37566AF4"/>
    <w:lvl w:ilvl="0">
      <w:start w:val="1"/>
      <w:numFmt w:val="low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AF2464"/>
    <w:multiLevelType w:val="hybridMultilevel"/>
    <w:tmpl w:val="991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977D2"/>
    <w:multiLevelType w:val="multilevel"/>
    <w:tmpl w:val="2432092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DF252F"/>
    <w:multiLevelType w:val="multilevel"/>
    <w:tmpl w:val="8FA8BB76"/>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F7"/>
    <w:rsid w:val="0027035A"/>
    <w:rsid w:val="002B2552"/>
    <w:rsid w:val="005955A6"/>
    <w:rsid w:val="007A513A"/>
    <w:rsid w:val="00C4778E"/>
    <w:rsid w:val="00E916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D1D1F"/>
  <w15:docId w15:val="{593DFF62-98AD-4CB1-BB27-4C94AFCA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Palatino Linotype" w:eastAsia="Palatino Linotype" w:hAnsi="Palatino Linotype" w:cs="Palatino Linotype"/>
      <w:b w:val="0"/>
      <w:bCs w:val="0"/>
      <w:i w:val="0"/>
      <w:iCs w:val="0"/>
      <w:smallCaps w:val="0"/>
      <w:strike w:val="0"/>
      <w:color w:val="C7556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iCs/>
      <w:smallCaps w:val="0"/>
      <w:strike w:val="0"/>
      <w:color w:val="C75560"/>
      <w:sz w:val="34"/>
      <w:szCs w:val="34"/>
      <w:u w:val="none"/>
      <w:shd w:val="clear" w:color="auto" w:fill="auto"/>
    </w:rPr>
  </w:style>
  <w:style w:type="paragraph" w:customStyle="1" w:styleId="Vnbnnidung0">
    <w:name w:val="Văn bản nội dung"/>
    <w:basedOn w:val="Normal"/>
    <w:link w:val="Vnbnnidung"/>
    <w:pPr>
      <w:spacing w:line="271" w:lineRule="auto"/>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pPr>
      <w:jc w:val="center"/>
    </w:pPr>
    <w:rPr>
      <w:rFonts w:ascii="Palatino Linotype" w:eastAsia="Palatino Linotype" w:hAnsi="Palatino Linotype" w:cs="Palatino Linotype"/>
      <w:color w:val="C75560"/>
      <w:sz w:val="22"/>
      <w:szCs w:val="22"/>
    </w:rPr>
  </w:style>
  <w:style w:type="paragraph" w:customStyle="1" w:styleId="Tiu10">
    <w:name w:val="Tiêu đề #1"/>
    <w:basedOn w:val="Normal"/>
    <w:link w:val="Tiu1"/>
    <w:pPr>
      <w:ind w:left="7040"/>
      <w:outlineLvl w:val="0"/>
    </w:pPr>
    <w:rPr>
      <w:rFonts w:ascii="Arial" w:eastAsia="Arial" w:hAnsi="Arial" w:cs="Arial"/>
      <w:i/>
      <w:iCs/>
      <w:color w:val="C75560"/>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tB+ZMk9iMIdAAdPZirLazB8R5Q==">CgMxLjAyCGguZ2pkZ3hzOAByITFaQzlvZU5TZkMxR0g2NGg4c0tiZWk4N3E0eUZIbUY2eQ==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5</cp:revision>
  <dcterms:created xsi:type="dcterms:W3CDTF">2024-02-06T04:36:00Z</dcterms:created>
  <dcterms:modified xsi:type="dcterms:W3CDTF">2024-02-07T09:34:00Z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868b1ae4d9d37d7244d5297f9b5cb13c9e105a12867ceb3885fbc8415b8f58d7</vt:lpwstr>
  </property>
</Properties>
</file>