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612" w14:textId="77777777" w:rsidR="00C7183E" w:rsidRPr="00BA67E1" w:rsidRDefault="00BA67E1" w:rsidP="00676E45">
      <w:pPr>
        <w:pBdr>
          <w:top w:val="nil"/>
          <w:left w:val="nil"/>
          <w:bottom w:val="nil"/>
          <w:right w:val="nil"/>
          <w:between w:val="nil"/>
        </w:pBdr>
        <w:tabs>
          <w:tab w:val="left" w:pos="5155"/>
        </w:tabs>
        <w:spacing w:after="120" w:line="360" w:lineRule="auto"/>
        <w:rPr>
          <w:rFonts w:ascii="Arial" w:eastAsia="Arial" w:hAnsi="Arial" w:cs="Arial"/>
          <w:b/>
          <w:color w:val="010000"/>
          <w:sz w:val="20"/>
          <w:szCs w:val="20"/>
        </w:rPr>
      </w:pPr>
      <w:bookmarkStart w:id="0" w:name="_GoBack"/>
      <w:bookmarkEnd w:id="0"/>
      <w:r w:rsidRPr="00BA67E1">
        <w:rPr>
          <w:rFonts w:ascii="Arial" w:hAnsi="Arial" w:cs="Arial"/>
          <w:b/>
          <w:color w:val="010000"/>
          <w:sz w:val="20"/>
        </w:rPr>
        <w:t>CBI: Board Resolution</w:t>
      </w:r>
    </w:p>
    <w:p w14:paraId="198CD29E" w14:textId="77777777" w:rsidR="00C7183E" w:rsidRPr="00BA67E1" w:rsidRDefault="00BA67E1" w:rsidP="00676E45">
      <w:pPr>
        <w:pBdr>
          <w:top w:val="nil"/>
          <w:left w:val="nil"/>
          <w:bottom w:val="nil"/>
          <w:right w:val="nil"/>
          <w:between w:val="nil"/>
        </w:pBdr>
        <w:tabs>
          <w:tab w:val="left" w:pos="5155"/>
        </w:tabs>
        <w:spacing w:after="120" w:line="360" w:lineRule="auto"/>
        <w:rPr>
          <w:rFonts w:ascii="Arial" w:eastAsia="Arial" w:hAnsi="Arial" w:cs="Arial"/>
          <w:color w:val="010000"/>
          <w:sz w:val="20"/>
          <w:szCs w:val="20"/>
        </w:rPr>
      </w:pPr>
      <w:r w:rsidRPr="00BA67E1">
        <w:rPr>
          <w:rFonts w:ascii="Arial" w:hAnsi="Arial" w:cs="Arial"/>
          <w:color w:val="010000"/>
          <w:sz w:val="20"/>
        </w:rPr>
        <w:t xml:space="preserve">On February 27, 2024, Cao Bang Cast Iron &amp; Steel </w:t>
      </w:r>
      <w:proofErr w:type="spellStart"/>
      <w:r w:rsidRPr="00BA67E1">
        <w:rPr>
          <w:rFonts w:ascii="Arial" w:hAnsi="Arial" w:cs="Arial"/>
          <w:color w:val="010000"/>
          <w:sz w:val="20"/>
        </w:rPr>
        <w:t>JSC</w:t>
      </w:r>
      <w:proofErr w:type="spellEnd"/>
      <w:r w:rsidRPr="00BA67E1">
        <w:rPr>
          <w:rFonts w:ascii="Arial" w:hAnsi="Arial" w:cs="Arial"/>
          <w:color w:val="010000"/>
          <w:sz w:val="20"/>
        </w:rPr>
        <w:t xml:space="preserve"> announced Board Resolution No. 294/NQ-CISCO on purchasing/selling coke for production with </w:t>
      </w:r>
      <w:proofErr w:type="spellStart"/>
      <w:r w:rsidRPr="00BA67E1">
        <w:rPr>
          <w:rFonts w:ascii="Arial" w:hAnsi="Arial" w:cs="Arial"/>
          <w:color w:val="010000"/>
          <w:sz w:val="20"/>
        </w:rPr>
        <w:t>Vinacomin</w:t>
      </w:r>
      <w:proofErr w:type="spellEnd"/>
      <w:r w:rsidRPr="00BA67E1">
        <w:rPr>
          <w:rFonts w:ascii="Arial" w:hAnsi="Arial" w:cs="Arial"/>
          <w:color w:val="010000"/>
          <w:sz w:val="20"/>
        </w:rPr>
        <w:t xml:space="preserve"> - Minerals Holding Corporation (phase 2) as follows: </w:t>
      </w:r>
    </w:p>
    <w:p w14:paraId="4A78B776" w14:textId="32E6EC8F"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 xml:space="preserve">‎‎Article 1. The Board of Directors </w:t>
      </w:r>
      <w:r>
        <w:rPr>
          <w:rFonts w:ascii="Arial" w:hAnsi="Arial" w:cs="Arial"/>
          <w:color w:val="010000"/>
          <w:sz w:val="20"/>
        </w:rPr>
        <w:t>agrees</w:t>
      </w:r>
      <w:r w:rsidRPr="00BA67E1">
        <w:rPr>
          <w:rFonts w:ascii="Arial" w:hAnsi="Arial" w:cs="Arial"/>
          <w:color w:val="010000"/>
          <w:sz w:val="20"/>
        </w:rPr>
        <w:t xml:space="preserve"> to approve on “Purchasing/selling coke for production with </w:t>
      </w:r>
      <w:proofErr w:type="spellStart"/>
      <w:r w:rsidRPr="00BA67E1">
        <w:rPr>
          <w:rFonts w:ascii="Arial" w:hAnsi="Arial" w:cs="Arial"/>
          <w:color w:val="010000"/>
          <w:sz w:val="20"/>
        </w:rPr>
        <w:t>Vinacomin</w:t>
      </w:r>
      <w:proofErr w:type="spellEnd"/>
      <w:r w:rsidRPr="00BA67E1">
        <w:rPr>
          <w:rFonts w:ascii="Arial" w:hAnsi="Arial" w:cs="Arial"/>
          <w:color w:val="010000"/>
          <w:sz w:val="20"/>
        </w:rPr>
        <w:t xml:space="preserve"> - Minerals Holding Corporation”, specifically as follows:</w:t>
      </w:r>
    </w:p>
    <w:p w14:paraId="14230F53" w14:textId="6BC8FCB6" w:rsidR="00C7183E" w:rsidRPr="00BA67E1" w:rsidRDefault="00BA67E1" w:rsidP="00676E45">
      <w:pPr>
        <w:numPr>
          <w:ilvl w:val="0"/>
          <w:numId w:val="1"/>
        </w:numPr>
        <w:pBdr>
          <w:top w:val="nil"/>
          <w:left w:val="nil"/>
          <w:bottom w:val="nil"/>
          <w:right w:val="nil"/>
          <w:between w:val="nil"/>
        </w:pBdr>
        <w:tabs>
          <w:tab w:val="left" w:pos="432"/>
          <w:tab w:val="left" w:pos="1330"/>
        </w:tabs>
        <w:spacing w:after="120" w:line="360" w:lineRule="auto"/>
        <w:rPr>
          <w:rFonts w:ascii="Arial" w:eastAsia="Arial" w:hAnsi="Arial" w:cs="Arial"/>
          <w:color w:val="010000"/>
          <w:sz w:val="20"/>
          <w:szCs w:val="20"/>
        </w:rPr>
      </w:pPr>
      <w:bookmarkStart w:id="1" w:name="_heading=h.gjdgxs"/>
      <w:bookmarkEnd w:id="1"/>
      <w:r w:rsidRPr="00BA67E1">
        <w:rPr>
          <w:rFonts w:ascii="Arial" w:hAnsi="Arial" w:cs="Arial"/>
          <w:color w:val="010000"/>
          <w:sz w:val="20"/>
        </w:rPr>
        <w:t xml:space="preserve">Quantity: 10,000 tons ±2% </w:t>
      </w:r>
      <w:r w:rsidR="0037665B" w:rsidRPr="00BA67E1">
        <w:rPr>
          <w:rFonts w:ascii="Arial" w:hAnsi="Arial" w:cs="Arial"/>
          <w:color w:val="010000"/>
          <w:sz w:val="20"/>
        </w:rPr>
        <w:t>converted to 0% moisture</w:t>
      </w:r>
      <w:r w:rsidRPr="00BA67E1">
        <w:rPr>
          <w:rFonts w:ascii="Arial" w:hAnsi="Arial" w:cs="Arial"/>
          <w:color w:val="010000"/>
          <w:sz w:val="20"/>
        </w:rPr>
        <w:t>.</w:t>
      </w:r>
    </w:p>
    <w:p w14:paraId="200F9462" w14:textId="6B618FAF" w:rsidR="00C7183E" w:rsidRPr="00BA67E1" w:rsidRDefault="00BA67E1" w:rsidP="00676E45">
      <w:pPr>
        <w:numPr>
          <w:ilvl w:val="0"/>
          <w:numId w:val="1"/>
        </w:numPr>
        <w:pBdr>
          <w:top w:val="nil"/>
          <w:left w:val="nil"/>
          <w:bottom w:val="nil"/>
          <w:right w:val="nil"/>
          <w:between w:val="nil"/>
        </w:pBdr>
        <w:tabs>
          <w:tab w:val="left" w:pos="432"/>
          <w:tab w:val="left" w:pos="1360"/>
        </w:tabs>
        <w:spacing w:after="120" w:line="360" w:lineRule="auto"/>
        <w:rPr>
          <w:rFonts w:ascii="Arial" w:eastAsia="Arial" w:hAnsi="Arial" w:cs="Arial"/>
          <w:color w:val="010000"/>
          <w:sz w:val="20"/>
          <w:szCs w:val="20"/>
        </w:rPr>
      </w:pPr>
      <w:r w:rsidRPr="00BA67E1">
        <w:rPr>
          <w:rFonts w:ascii="Arial" w:hAnsi="Arial" w:cs="Arial"/>
          <w:color w:val="010000"/>
          <w:sz w:val="20"/>
        </w:rPr>
        <w:t xml:space="preserve">Expected ceiling unit price: </w:t>
      </w:r>
      <w:proofErr w:type="spellStart"/>
      <w:r w:rsidRPr="00BA67E1">
        <w:rPr>
          <w:rFonts w:ascii="Arial" w:hAnsi="Arial" w:cs="Arial"/>
          <w:color w:val="010000"/>
          <w:sz w:val="20"/>
        </w:rPr>
        <w:t>VIMICO</w:t>
      </w:r>
      <w:proofErr w:type="spellEnd"/>
      <w:r w:rsidRPr="00BA67E1">
        <w:rPr>
          <w:rFonts w:ascii="Arial" w:hAnsi="Arial" w:cs="Arial"/>
          <w:color w:val="010000"/>
          <w:sz w:val="20"/>
        </w:rPr>
        <w:t xml:space="preserve"> will notify the Company (via a document; email) of the expected ceiling price and come to an agreement before issuing the bidding </w:t>
      </w:r>
      <w:r w:rsidR="0037665B" w:rsidRPr="00BA67E1">
        <w:rPr>
          <w:rFonts w:ascii="Arial" w:hAnsi="Arial" w:cs="Arial"/>
          <w:color w:val="010000"/>
          <w:sz w:val="20"/>
        </w:rPr>
        <w:t xml:space="preserve">soliciting </w:t>
      </w:r>
      <w:r w:rsidRPr="00BA67E1">
        <w:rPr>
          <w:rFonts w:ascii="Arial" w:hAnsi="Arial" w:cs="Arial"/>
          <w:color w:val="010000"/>
          <w:sz w:val="20"/>
        </w:rPr>
        <w:t>dossiers.</w:t>
      </w:r>
    </w:p>
    <w:p w14:paraId="10BC340B" w14:textId="77777777" w:rsidR="00C7183E" w:rsidRPr="00BA67E1" w:rsidRDefault="00BA67E1" w:rsidP="00676E45">
      <w:pPr>
        <w:numPr>
          <w:ilvl w:val="0"/>
          <w:numId w:val="1"/>
        </w:numPr>
        <w:pBdr>
          <w:top w:val="nil"/>
          <w:left w:val="nil"/>
          <w:bottom w:val="nil"/>
          <w:right w:val="nil"/>
          <w:between w:val="nil"/>
        </w:pBdr>
        <w:tabs>
          <w:tab w:val="left" w:pos="432"/>
          <w:tab w:val="left" w:pos="1365"/>
        </w:tabs>
        <w:spacing w:after="120" w:line="360" w:lineRule="auto"/>
        <w:rPr>
          <w:rFonts w:ascii="Arial" w:eastAsia="Arial" w:hAnsi="Arial" w:cs="Arial"/>
          <w:color w:val="010000"/>
          <w:sz w:val="20"/>
          <w:szCs w:val="20"/>
        </w:rPr>
      </w:pPr>
      <w:r w:rsidRPr="00BA67E1">
        <w:rPr>
          <w:rFonts w:ascii="Arial" w:hAnsi="Arial" w:cs="Arial"/>
          <w:color w:val="010000"/>
          <w:sz w:val="20"/>
        </w:rPr>
        <w:t>Expected delivery time: from April 20, 2024 to May 20, 2024.</w:t>
      </w:r>
    </w:p>
    <w:p w14:paraId="1F254591" w14:textId="77777777" w:rsidR="00C7183E" w:rsidRPr="00BA67E1" w:rsidRDefault="00BA67E1" w:rsidP="00676E45">
      <w:pPr>
        <w:numPr>
          <w:ilvl w:val="0"/>
          <w:numId w:val="1"/>
        </w:numPr>
        <w:pBdr>
          <w:top w:val="nil"/>
          <w:left w:val="nil"/>
          <w:bottom w:val="nil"/>
          <w:right w:val="nil"/>
          <w:between w:val="nil"/>
        </w:pBdr>
        <w:tabs>
          <w:tab w:val="left" w:pos="432"/>
          <w:tab w:val="left" w:pos="1365"/>
        </w:tabs>
        <w:spacing w:after="120" w:line="360" w:lineRule="auto"/>
        <w:rPr>
          <w:rFonts w:ascii="Arial" w:eastAsia="Arial" w:hAnsi="Arial" w:cs="Arial"/>
          <w:color w:val="010000"/>
          <w:sz w:val="20"/>
          <w:szCs w:val="20"/>
        </w:rPr>
      </w:pPr>
      <w:r w:rsidRPr="00BA67E1">
        <w:rPr>
          <w:rFonts w:ascii="Arial" w:hAnsi="Arial" w:cs="Arial"/>
          <w:color w:val="010000"/>
          <w:sz w:val="20"/>
        </w:rPr>
        <w:t>Technical targets:</w:t>
      </w:r>
    </w:p>
    <w:tbl>
      <w:tblPr>
        <w:tblStyle w:val="a"/>
        <w:tblW w:w="5000" w:type="pct"/>
        <w:tblLook w:val="0000" w:firstRow="0" w:lastRow="0" w:firstColumn="0" w:lastColumn="0" w:noHBand="0" w:noVBand="0"/>
      </w:tblPr>
      <w:tblGrid>
        <w:gridCol w:w="886"/>
        <w:gridCol w:w="784"/>
        <w:gridCol w:w="784"/>
        <w:gridCol w:w="786"/>
        <w:gridCol w:w="787"/>
        <w:gridCol w:w="774"/>
        <w:gridCol w:w="941"/>
        <w:gridCol w:w="1050"/>
        <w:gridCol w:w="1001"/>
        <w:gridCol w:w="620"/>
        <w:gridCol w:w="604"/>
      </w:tblGrid>
      <w:tr w:rsidR="00BA67E1" w:rsidRPr="00BA67E1" w14:paraId="1262372F" w14:textId="77777777" w:rsidTr="00BA67E1">
        <w:tc>
          <w:tcPr>
            <w:tcW w:w="491" w:type="pct"/>
            <w:tcBorders>
              <w:top w:val="single" w:sz="4" w:space="0" w:color="000000"/>
              <w:left w:val="single" w:sz="4" w:space="0" w:color="000000"/>
            </w:tcBorders>
            <w:shd w:val="clear" w:color="auto" w:fill="auto"/>
            <w:tcMar>
              <w:top w:w="0" w:type="dxa"/>
              <w:bottom w:w="0" w:type="dxa"/>
            </w:tcMar>
            <w:vAlign w:val="center"/>
          </w:tcPr>
          <w:p w14:paraId="086FD213" w14:textId="406E967E" w:rsidR="00C7183E" w:rsidRPr="00BA67E1" w:rsidRDefault="0037665B" w:rsidP="00837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Carbon</w:t>
            </w:r>
            <w:r w:rsidR="00837E45" w:rsidRPr="00BA67E1">
              <w:rPr>
                <w:rFonts w:ascii="Arial" w:hAnsi="Arial" w:cs="Arial"/>
                <w:color w:val="010000"/>
                <w:sz w:val="20"/>
              </w:rPr>
              <w:t xml:space="preserve"> </w:t>
            </w:r>
            <w:r w:rsidR="00BA67E1" w:rsidRPr="00BA67E1">
              <w:rPr>
                <w:rFonts w:ascii="Arial" w:hAnsi="Arial" w:cs="Arial"/>
                <w:color w:val="010000"/>
                <w:sz w:val="20"/>
              </w:rPr>
              <w:t>(C)%</w:t>
            </w:r>
          </w:p>
        </w:tc>
        <w:tc>
          <w:tcPr>
            <w:tcW w:w="434" w:type="pct"/>
            <w:tcBorders>
              <w:top w:val="single" w:sz="4" w:space="0" w:color="000000"/>
              <w:left w:val="single" w:sz="4" w:space="0" w:color="000000"/>
            </w:tcBorders>
            <w:shd w:val="clear" w:color="auto" w:fill="auto"/>
            <w:tcMar>
              <w:top w:w="0" w:type="dxa"/>
              <w:bottom w:w="0" w:type="dxa"/>
            </w:tcMar>
            <w:vAlign w:val="center"/>
          </w:tcPr>
          <w:p w14:paraId="44DACCF0"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Sulfur (S)%</w:t>
            </w:r>
          </w:p>
        </w:tc>
        <w:tc>
          <w:tcPr>
            <w:tcW w:w="434" w:type="pct"/>
            <w:tcBorders>
              <w:top w:val="single" w:sz="4" w:space="0" w:color="000000"/>
              <w:left w:val="single" w:sz="4" w:space="0" w:color="000000"/>
            </w:tcBorders>
            <w:shd w:val="clear" w:color="auto" w:fill="auto"/>
            <w:tcMar>
              <w:top w:w="0" w:type="dxa"/>
              <w:bottom w:w="0" w:type="dxa"/>
            </w:tcMar>
            <w:vAlign w:val="center"/>
          </w:tcPr>
          <w:p w14:paraId="18F4E935"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Ash Content (A) %</w:t>
            </w:r>
          </w:p>
        </w:tc>
        <w:tc>
          <w:tcPr>
            <w:tcW w:w="436" w:type="pct"/>
            <w:tcBorders>
              <w:top w:val="single" w:sz="4" w:space="0" w:color="000000"/>
              <w:left w:val="single" w:sz="4" w:space="0" w:color="000000"/>
            </w:tcBorders>
            <w:shd w:val="clear" w:color="auto" w:fill="auto"/>
            <w:tcMar>
              <w:top w:w="0" w:type="dxa"/>
              <w:bottom w:w="0" w:type="dxa"/>
            </w:tcMar>
            <w:vAlign w:val="center"/>
          </w:tcPr>
          <w:p w14:paraId="06A35DD0" w14:textId="14D671FB"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Volati</w:t>
            </w:r>
            <w:r w:rsidR="0037665B" w:rsidRPr="00BA67E1">
              <w:rPr>
                <w:rFonts w:ascii="Arial" w:hAnsi="Arial" w:cs="Arial"/>
                <w:color w:val="010000"/>
                <w:sz w:val="20"/>
              </w:rPr>
              <w:t>lity</w:t>
            </w:r>
            <w:r w:rsidRPr="00BA67E1">
              <w:rPr>
                <w:rFonts w:ascii="Arial" w:hAnsi="Arial" w:cs="Arial"/>
                <w:color w:val="010000"/>
                <w:sz w:val="20"/>
              </w:rPr>
              <w:t xml:space="preserve"> (V)%</w:t>
            </w:r>
          </w:p>
        </w:tc>
        <w:tc>
          <w:tcPr>
            <w:tcW w:w="436" w:type="pct"/>
            <w:tcBorders>
              <w:top w:val="single" w:sz="4" w:space="0" w:color="000000"/>
              <w:left w:val="single" w:sz="4" w:space="0" w:color="000000"/>
            </w:tcBorders>
            <w:shd w:val="clear" w:color="auto" w:fill="auto"/>
            <w:tcMar>
              <w:top w:w="0" w:type="dxa"/>
              <w:bottom w:w="0" w:type="dxa"/>
            </w:tcMar>
            <w:vAlign w:val="center"/>
          </w:tcPr>
          <w:p w14:paraId="4452B9F2"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Moisture (W)%</w:t>
            </w:r>
          </w:p>
        </w:tc>
        <w:tc>
          <w:tcPr>
            <w:tcW w:w="429" w:type="pct"/>
            <w:tcBorders>
              <w:top w:val="single" w:sz="4" w:space="0" w:color="000000"/>
              <w:left w:val="single" w:sz="4" w:space="0" w:color="000000"/>
            </w:tcBorders>
            <w:shd w:val="clear" w:color="auto" w:fill="auto"/>
            <w:tcMar>
              <w:top w:w="0" w:type="dxa"/>
              <w:bottom w:w="0" w:type="dxa"/>
            </w:tcMar>
            <w:vAlign w:val="center"/>
          </w:tcPr>
          <w:p w14:paraId="34B45A66"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 xml:space="preserve">Grain size </w:t>
            </w:r>
          </w:p>
          <w:p w14:paraId="05FCBA99"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(mm)</w:t>
            </w:r>
          </w:p>
        </w:tc>
        <w:tc>
          <w:tcPr>
            <w:tcW w:w="522" w:type="pct"/>
            <w:tcBorders>
              <w:top w:val="single" w:sz="4" w:space="0" w:color="000000"/>
              <w:left w:val="single" w:sz="4" w:space="0" w:color="000000"/>
            </w:tcBorders>
            <w:shd w:val="clear" w:color="auto" w:fill="auto"/>
            <w:tcMar>
              <w:top w:w="0" w:type="dxa"/>
              <w:bottom w:w="0" w:type="dxa"/>
            </w:tcMar>
            <w:vAlign w:val="center"/>
          </w:tcPr>
          <w:p w14:paraId="4B8F3442"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Rotation intensity (</w:t>
            </w:r>
            <w:proofErr w:type="spellStart"/>
            <w:r w:rsidRPr="00BA67E1">
              <w:rPr>
                <w:rFonts w:ascii="Arial" w:hAnsi="Arial" w:cs="Arial"/>
                <w:color w:val="010000"/>
                <w:sz w:val="20"/>
              </w:rPr>
              <w:t>M40</w:t>
            </w:r>
            <w:proofErr w:type="spellEnd"/>
            <w:r w:rsidRPr="00BA67E1">
              <w:rPr>
                <w:rFonts w:ascii="Arial" w:hAnsi="Arial" w:cs="Arial"/>
                <w:color w:val="010000"/>
                <w:sz w:val="20"/>
              </w:rPr>
              <w:t>) %</w:t>
            </w:r>
          </w:p>
        </w:tc>
        <w:tc>
          <w:tcPr>
            <w:tcW w:w="582" w:type="pct"/>
            <w:tcBorders>
              <w:top w:val="single" w:sz="4" w:space="0" w:color="000000"/>
              <w:left w:val="single" w:sz="4" w:space="0" w:color="000000"/>
            </w:tcBorders>
            <w:shd w:val="clear" w:color="auto" w:fill="auto"/>
            <w:tcMar>
              <w:top w:w="0" w:type="dxa"/>
              <w:bottom w:w="0" w:type="dxa"/>
            </w:tcMar>
            <w:vAlign w:val="center"/>
          </w:tcPr>
          <w:p w14:paraId="4FD4960D"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Bursting strength (</w:t>
            </w:r>
            <w:proofErr w:type="spellStart"/>
            <w:r w:rsidRPr="00BA67E1">
              <w:rPr>
                <w:rFonts w:ascii="Arial" w:hAnsi="Arial" w:cs="Arial"/>
                <w:color w:val="010000"/>
                <w:sz w:val="20"/>
              </w:rPr>
              <w:t>M25</w:t>
            </w:r>
            <w:proofErr w:type="spellEnd"/>
            <w:r w:rsidRPr="00BA67E1">
              <w:rPr>
                <w:rFonts w:ascii="Arial" w:hAnsi="Arial" w:cs="Arial"/>
                <w:color w:val="010000"/>
                <w:sz w:val="20"/>
              </w:rPr>
              <w:t>) %</w:t>
            </w:r>
          </w:p>
        </w:tc>
        <w:tc>
          <w:tcPr>
            <w:tcW w:w="555" w:type="pct"/>
            <w:tcBorders>
              <w:top w:val="single" w:sz="4" w:space="0" w:color="000000"/>
              <w:left w:val="single" w:sz="4" w:space="0" w:color="000000"/>
            </w:tcBorders>
            <w:shd w:val="clear" w:color="auto" w:fill="auto"/>
            <w:tcMar>
              <w:top w:w="0" w:type="dxa"/>
              <w:bottom w:w="0" w:type="dxa"/>
            </w:tcMar>
            <w:vAlign w:val="center"/>
          </w:tcPr>
          <w:p w14:paraId="298D54E7"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Fall intensity (</w:t>
            </w:r>
            <w:proofErr w:type="spellStart"/>
            <w:r w:rsidRPr="00BA67E1">
              <w:rPr>
                <w:rFonts w:ascii="Arial" w:hAnsi="Arial" w:cs="Arial"/>
                <w:color w:val="010000"/>
                <w:sz w:val="20"/>
              </w:rPr>
              <w:t>M10</w:t>
            </w:r>
            <w:proofErr w:type="spellEnd"/>
            <w:r w:rsidRPr="00BA67E1">
              <w:rPr>
                <w:rFonts w:ascii="Arial" w:hAnsi="Arial" w:cs="Arial"/>
                <w:color w:val="010000"/>
                <w:sz w:val="20"/>
              </w:rPr>
              <w:t>) %</w:t>
            </w:r>
          </w:p>
        </w:tc>
        <w:tc>
          <w:tcPr>
            <w:tcW w:w="344" w:type="pct"/>
            <w:tcBorders>
              <w:top w:val="single" w:sz="4" w:space="0" w:color="000000"/>
              <w:left w:val="single" w:sz="4" w:space="0" w:color="000000"/>
            </w:tcBorders>
            <w:shd w:val="clear" w:color="auto" w:fill="auto"/>
            <w:tcMar>
              <w:top w:w="0" w:type="dxa"/>
              <w:bottom w:w="0" w:type="dxa"/>
            </w:tcMar>
            <w:vAlign w:val="center"/>
          </w:tcPr>
          <w:p w14:paraId="2DFEF624" w14:textId="4C9F8E76"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 xml:space="preserve">CSR </w:t>
            </w:r>
            <w:r w:rsidR="0037665B" w:rsidRPr="00BA67E1">
              <w:rPr>
                <w:rFonts w:ascii="Arial" w:hAnsi="Arial" w:cs="Arial"/>
                <w:color w:val="010000"/>
                <w:sz w:val="20"/>
              </w:rPr>
              <w:t>(</w:t>
            </w:r>
            <w:r w:rsidRPr="00BA67E1">
              <w:rPr>
                <w:rFonts w:ascii="Arial" w:hAnsi="Arial" w:cs="Arial"/>
                <w:color w:val="010000"/>
                <w:sz w:val="20"/>
              </w:rPr>
              <w:t>%</w:t>
            </w:r>
            <w:r w:rsidR="0037665B" w:rsidRPr="00BA67E1">
              <w:rPr>
                <w:rFonts w:ascii="Arial" w:hAnsi="Arial" w:cs="Arial"/>
                <w:color w:val="010000"/>
                <w:sz w:val="20"/>
              </w:rPr>
              <w:t>)</w:t>
            </w:r>
          </w:p>
        </w:tc>
        <w:tc>
          <w:tcPr>
            <w:tcW w:w="335"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04036C66" w14:textId="54C1542D" w:rsidR="00C7183E" w:rsidRPr="00BA67E1" w:rsidRDefault="00BA67E1" w:rsidP="0037665B">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CRI</w:t>
            </w:r>
            <w:r w:rsidR="0037665B" w:rsidRPr="00BA67E1">
              <w:rPr>
                <w:rFonts w:ascii="Arial" w:hAnsi="Arial" w:cs="Arial"/>
                <w:color w:val="010000"/>
                <w:sz w:val="20"/>
              </w:rPr>
              <w:t xml:space="preserve"> (</w:t>
            </w:r>
            <w:r w:rsidRPr="00BA67E1">
              <w:rPr>
                <w:rFonts w:ascii="Arial" w:hAnsi="Arial" w:cs="Arial"/>
                <w:color w:val="010000"/>
                <w:sz w:val="20"/>
              </w:rPr>
              <w:t>%</w:t>
            </w:r>
            <w:r w:rsidR="0037665B" w:rsidRPr="00BA67E1">
              <w:rPr>
                <w:rFonts w:ascii="Arial" w:hAnsi="Arial" w:cs="Arial"/>
                <w:color w:val="010000"/>
                <w:sz w:val="20"/>
              </w:rPr>
              <w:t>)</w:t>
            </w:r>
          </w:p>
        </w:tc>
      </w:tr>
      <w:tr w:rsidR="00BA67E1" w:rsidRPr="00BA67E1" w14:paraId="30457203" w14:textId="77777777" w:rsidTr="00BA67E1">
        <w:tc>
          <w:tcPr>
            <w:tcW w:w="49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CEBCD68" w14:textId="62A09537" w:rsidR="00BA67E1"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 83.5</w:t>
            </w:r>
          </w:p>
        </w:tc>
        <w:tc>
          <w:tcPr>
            <w:tcW w:w="43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D33E59F" w14:textId="4C914A0E" w:rsidR="00BA67E1"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≤0.8</w:t>
            </w:r>
          </w:p>
        </w:tc>
        <w:tc>
          <w:tcPr>
            <w:tcW w:w="43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AFCF29C" w14:textId="72C8AC68" w:rsidR="00BA67E1"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≤13.5</w:t>
            </w:r>
          </w:p>
        </w:tc>
        <w:tc>
          <w:tcPr>
            <w:tcW w:w="43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4F40916" w14:textId="5BD7759F" w:rsidR="00BA67E1"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≤1.8</w:t>
            </w:r>
          </w:p>
        </w:tc>
        <w:tc>
          <w:tcPr>
            <w:tcW w:w="43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10D7698" w14:textId="4B8997B5" w:rsidR="00BA67E1"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≤7</w:t>
            </w:r>
          </w:p>
        </w:tc>
        <w:tc>
          <w:tcPr>
            <w:tcW w:w="42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C8B8ABF" w14:textId="77777777" w:rsidR="00BA67E1"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25-80</w:t>
            </w:r>
          </w:p>
        </w:tc>
        <w:tc>
          <w:tcPr>
            <w:tcW w:w="5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642E998" w14:textId="7B389A86" w:rsidR="00BA67E1"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≥76</w:t>
            </w:r>
          </w:p>
        </w:tc>
        <w:tc>
          <w:tcPr>
            <w:tcW w:w="58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0084E9A" w14:textId="4F958F1B" w:rsidR="00BA67E1"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≥88</w:t>
            </w:r>
          </w:p>
        </w:tc>
        <w:tc>
          <w:tcPr>
            <w:tcW w:w="55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9BC3061" w14:textId="0ACCD1D8" w:rsidR="00BA67E1"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≤8.5</w:t>
            </w:r>
          </w:p>
        </w:tc>
        <w:tc>
          <w:tcPr>
            <w:tcW w:w="34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398C930" w14:textId="09D70F06" w:rsidR="00BA67E1"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≥60</w:t>
            </w:r>
          </w:p>
        </w:tc>
        <w:tc>
          <w:tcPr>
            <w:tcW w:w="335"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76B0903" w14:textId="25BFEEF0" w:rsidR="00BA67E1"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≤30</w:t>
            </w:r>
          </w:p>
        </w:tc>
      </w:tr>
    </w:tbl>
    <w:p w14:paraId="7333A039"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 xml:space="preserve">Grain size: &lt;25 mm, requirement: less than 5%; </w:t>
      </w:r>
    </w:p>
    <w:p w14:paraId="1E96A152"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Grain size: 25-40 mm, requirement: less than 20%</w:t>
      </w:r>
    </w:p>
    <w:p w14:paraId="13B78EF3"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Grain size: &gt;80 mm, requirement: less than 5%</w:t>
      </w:r>
    </w:p>
    <w:p w14:paraId="36CDEA17" w14:textId="77777777" w:rsidR="00C7183E" w:rsidRPr="00BA67E1" w:rsidRDefault="00BA67E1" w:rsidP="00676E45">
      <w:pPr>
        <w:pBdr>
          <w:top w:val="nil"/>
          <w:left w:val="nil"/>
          <w:bottom w:val="nil"/>
          <w:right w:val="nil"/>
          <w:between w:val="nil"/>
        </w:pBdr>
        <w:spacing w:after="120" w:line="360" w:lineRule="auto"/>
        <w:rPr>
          <w:rFonts w:ascii="Arial" w:eastAsia="Arial" w:hAnsi="Arial" w:cs="Arial"/>
          <w:color w:val="010000"/>
          <w:sz w:val="20"/>
          <w:szCs w:val="20"/>
        </w:rPr>
      </w:pPr>
      <w:r w:rsidRPr="00BA67E1">
        <w:rPr>
          <w:rFonts w:ascii="Arial" w:hAnsi="Arial" w:cs="Arial"/>
          <w:color w:val="010000"/>
          <w:sz w:val="20"/>
        </w:rPr>
        <w:t>‎‎Article 3. This Resolution takes effect from the date of its signing. Members of the Board of Directors, the Executive Board, and Heads of relevant units are responsible for the implementation of this Board Resolution</w:t>
      </w:r>
      <w:proofErr w:type="gramStart"/>
      <w:r w:rsidRPr="00BA67E1">
        <w:rPr>
          <w:rFonts w:ascii="Arial" w:hAnsi="Arial" w:cs="Arial"/>
          <w:color w:val="010000"/>
          <w:sz w:val="20"/>
        </w:rPr>
        <w:t>./</w:t>
      </w:r>
      <w:proofErr w:type="gramEnd"/>
      <w:r w:rsidRPr="00BA67E1">
        <w:rPr>
          <w:rFonts w:ascii="Arial" w:hAnsi="Arial" w:cs="Arial"/>
          <w:color w:val="010000"/>
          <w:sz w:val="20"/>
        </w:rPr>
        <w:t>.</w:t>
      </w:r>
    </w:p>
    <w:sectPr w:rsidR="00C7183E" w:rsidRPr="00BA67E1" w:rsidSect="00676E4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F4275"/>
    <w:multiLevelType w:val="multilevel"/>
    <w:tmpl w:val="71DA25D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3E"/>
    <w:rsid w:val="0037665B"/>
    <w:rsid w:val="00676E45"/>
    <w:rsid w:val="00810D27"/>
    <w:rsid w:val="00837E45"/>
    <w:rsid w:val="00BA67E1"/>
    <w:rsid w:val="00C7183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A3823"/>
  <w15:docId w15:val="{E2BA8DDF-D827-424C-8313-1C0EFF4F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34"/>
      <w:szCs w:val="34"/>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14"/>
      <w:szCs w:val="14"/>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iCs/>
      <w:smallCaps w:val="0"/>
      <w:strike w:val="0"/>
      <w:color w:val="A12D5D"/>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color w:val="5D1E32"/>
      <w:sz w:val="32"/>
      <w:szCs w:val="32"/>
      <w:u w:val="none"/>
      <w:shd w:val="clear" w:color="auto" w:fill="auto"/>
    </w:rPr>
  </w:style>
  <w:style w:type="paragraph" w:customStyle="1" w:styleId="Vnbnnidung0">
    <w:name w:val="Văn bản nội dung"/>
    <w:basedOn w:val="Normal"/>
    <w:link w:val="Vnbnnidung"/>
    <w:pPr>
      <w:spacing w:line="259" w:lineRule="auto"/>
      <w:ind w:firstLine="400"/>
    </w:pPr>
    <w:rPr>
      <w:rFonts w:ascii="Times New Roman" w:eastAsia="Times New Roman" w:hAnsi="Times New Roman" w:cs="Times New Roman"/>
    </w:rPr>
  </w:style>
  <w:style w:type="paragraph" w:customStyle="1" w:styleId="Vnbnnidung40">
    <w:name w:val="Văn bản nội dung (4)"/>
    <w:basedOn w:val="Normal"/>
    <w:link w:val="Vnbnnidung4"/>
    <w:rPr>
      <w:rFonts w:ascii="Arial" w:eastAsia="Arial" w:hAnsi="Arial" w:cs="Arial"/>
      <w:sz w:val="34"/>
      <w:szCs w:val="34"/>
    </w:rPr>
  </w:style>
  <w:style w:type="paragraph" w:customStyle="1" w:styleId="Vnbnnidung50">
    <w:name w:val="Văn bản nội dung (5)"/>
    <w:basedOn w:val="Normal"/>
    <w:link w:val="Vnbnnidung5"/>
    <w:rPr>
      <w:rFonts w:ascii="Arial" w:eastAsia="Arial" w:hAnsi="Arial" w:cs="Arial"/>
      <w:sz w:val="14"/>
      <w:szCs w:val="14"/>
    </w:rPr>
  </w:style>
  <w:style w:type="paragraph" w:customStyle="1" w:styleId="Chthchbng0">
    <w:name w:val="Chú thích bảng"/>
    <w:basedOn w:val="Normal"/>
    <w:link w:val="Chthchbng"/>
    <w:pPr>
      <w:spacing w:line="262" w:lineRule="auto"/>
    </w:pPr>
    <w:rPr>
      <w:rFonts w:ascii="Times New Roman" w:eastAsia="Times New Roman" w:hAnsi="Times New Roman" w:cs="Times New Roman"/>
    </w:rPr>
  </w:style>
  <w:style w:type="paragraph" w:customStyle="1" w:styleId="Khc0">
    <w:name w:val="Khác"/>
    <w:basedOn w:val="Normal"/>
    <w:link w:val="Khc"/>
    <w:pPr>
      <w:spacing w:line="259"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ind w:firstLine="780"/>
    </w:pPr>
    <w:rPr>
      <w:rFonts w:ascii="Arial" w:eastAsia="Arial" w:hAnsi="Arial" w:cs="Arial"/>
      <w:i/>
      <w:iCs/>
      <w:color w:val="A12D5D"/>
      <w:sz w:val="22"/>
      <w:szCs w:val="22"/>
    </w:rPr>
  </w:style>
  <w:style w:type="paragraph" w:customStyle="1" w:styleId="Vnbnnidung20">
    <w:name w:val="Văn bản nội dung (2)"/>
    <w:basedOn w:val="Normal"/>
    <w:link w:val="Vnbnnidung2"/>
    <w:pPr>
      <w:spacing w:line="180" w:lineRule="auto"/>
      <w:jc w:val="right"/>
    </w:pPr>
    <w:rPr>
      <w:rFonts w:ascii="Times New Roman" w:eastAsia="Times New Roman" w:hAnsi="Times New Roman" w:cs="Times New Roman"/>
      <w:i/>
      <w:iCs/>
      <w:color w:val="5D1E32"/>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F41JqCrASyXgpagEPbgB5cHBw==">CgMxLjAyCGguZ2pkZ3hzOAByITFQZGpfaEl6UUJSOXA3TFNxWXo3cXpxaE8xMERCTlg0Nw==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2024-03-01T03:36:00Z</dcterms:created>
  <dcterms:modified xsi:type="dcterms:W3CDTF">2024-03-01T03:36:00Z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110316efdc7b26e1ba0bfa8648bf60b3c477366239dfd83351e32894edee4f02</vt:lpwstr>
  </property>
</Properties>
</file>