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3E3B49" w:rsidRPr="006E4639" w:rsidRDefault="006E4639" w:rsidP="008F0B30">
      <w:pPr>
        <w:pBdr>
          <w:top w:val="nil"/>
          <w:left w:val="nil"/>
          <w:bottom w:val="nil"/>
          <w:right w:val="nil"/>
          <w:between w:val="nil"/>
        </w:pBdr>
        <w:tabs>
          <w:tab w:val="left" w:pos="432"/>
          <w:tab w:val="left" w:pos="4492"/>
        </w:tabs>
        <w:spacing w:after="120" w:line="360" w:lineRule="auto"/>
        <w:rPr>
          <w:rFonts w:ascii="Arial" w:eastAsia="Arial" w:hAnsi="Arial" w:cs="Arial"/>
          <w:b/>
          <w:color w:val="010000"/>
          <w:sz w:val="20"/>
          <w:szCs w:val="20"/>
        </w:rPr>
      </w:pPr>
      <w:bookmarkStart w:id="0" w:name="_GoBack"/>
      <w:bookmarkEnd w:id="0"/>
      <w:proofErr w:type="spellStart"/>
      <w:r w:rsidRPr="006E4639">
        <w:rPr>
          <w:rFonts w:ascii="Arial" w:hAnsi="Arial" w:cs="Arial"/>
          <w:b/>
          <w:color w:val="010000"/>
          <w:sz w:val="20"/>
        </w:rPr>
        <w:t>DTE</w:t>
      </w:r>
      <w:proofErr w:type="spellEnd"/>
      <w:r w:rsidRPr="006E4639">
        <w:rPr>
          <w:rFonts w:ascii="Arial" w:hAnsi="Arial" w:cs="Arial"/>
          <w:b/>
          <w:color w:val="010000"/>
          <w:sz w:val="20"/>
        </w:rPr>
        <w:t>: Board Resolution</w:t>
      </w:r>
    </w:p>
    <w:p w14:paraId="00000002" w14:textId="6953EDDD" w:rsidR="003E3B49" w:rsidRPr="006E4639" w:rsidRDefault="006E4639" w:rsidP="008F0B30">
      <w:pPr>
        <w:pBdr>
          <w:top w:val="nil"/>
          <w:left w:val="nil"/>
          <w:bottom w:val="nil"/>
          <w:right w:val="nil"/>
          <w:between w:val="nil"/>
        </w:pBdr>
        <w:tabs>
          <w:tab w:val="left" w:pos="432"/>
          <w:tab w:val="left" w:pos="4492"/>
        </w:tabs>
        <w:spacing w:after="120" w:line="360" w:lineRule="auto"/>
        <w:rPr>
          <w:rFonts w:ascii="Arial" w:eastAsia="Arial" w:hAnsi="Arial" w:cs="Arial"/>
          <w:color w:val="010000"/>
          <w:sz w:val="20"/>
          <w:szCs w:val="20"/>
        </w:rPr>
      </w:pPr>
      <w:r w:rsidRPr="006E4639">
        <w:rPr>
          <w:rFonts w:ascii="Arial" w:hAnsi="Arial" w:cs="Arial"/>
          <w:color w:val="010000"/>
          <w:sz w:val="20"/>
        </w:rPr>
        <w:t>On February 27, 2024, Dai Truong Thanh Holdings Energy Investment Joint Stock Company announced Resolution No. 2702/2024/NQ-</w:t>
      </w:r>
      <w:proofErr w:type="spellStart"/>
      <w:r w:rsidRPr="006E4639">
        <w:rPr>
          <w:rFonts w:ascii="Arial" w:hAnsi="Arial" w:cs="Arial"/>
          <w:color w:val="010000"/>
          <w:sz w:val="20"/>
        </w:rPr>
        <w:t>HDQT</w:t>
      </w:r>
      <w:proofErr w:type="spellEnd"/>
      <w:r w:rsidRPr="006E4639">
        <w:rPr>
          <w:rFonts w:ascii="Arial" w:hAnsi="Arial" w:cs="Arial"/>
          <w:color w:val="010000"/>
          <w:sz w:val="20"/>
        </w:rPr>
        <w:t>-</w:t>
      </w:r>
      <w:proofErr w:type="spellStart"/>
      <w:r w:rsidRPr="006E4639">
        <w:rPr>
          <w:rFonts w:ascii="Arial" w:hAnsi="Arial" w:cs="Arial"/>
          <w:color w:val="010000"/>
          <w:sz w:val="20"/>
        </w:rPr>
        <w:t>DTE</w:t>
      </w:r>
      <w:proofErr w:type="spellEnd"/>
      <w:r w:rsidRPr="006E4639">
        <w:rPr>
          <w:rFonts w:ascii="Arial" w:hAnsi="Arial" w:cs="Arial"/>
          <w:color w:val="010000"/>
          <w:sz w:val="20"/>
        </w:rPr>
        <w:t xml:space="preserve"> on approving the record date to exercise the right to attend the Annual General Meeting of Shareholders 2023 as follows: </w:t>
      </w:r>
    </w:p>
    <w:p w14:paraId="00000003" w14:textId="77777777" w:rsidR="003E3B49" w:rsidRPr="006E4639" w:rsidRDefault="006E4639" w:rsidP="008F0B3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4639">
        <w:rPr>
          <w:rFonts w:ascii="Arial" w:hAnsi="Arial" w:cs="Arial"/>
          <w:color w:val="010000"/>
          <w:sz w:val="20"/>
        </w:rPr>
        <w:t>Article 1: Approve the record date to exercise the right to attend the Annual General Meeting of Shareholders 2023 as follows:</w:t>
      </w:r>
    </w:p>
    <w:p w14:paraId="00000004" w14:textId="77777777" w:rsidR="003E3B49" w:rsidRPr="006E4639" w:rsidRDefault="006E4639" w:rsidP="008F0B30">
      <w:pPr>
        <w:numPr>
          <w:ilvl w:val="0"/>
          <w:numId w:val="1"/>
        </w:numPr>
        <w:pBdr>
          <w:top w:val="nil"/>
          <w:left w:val="nil"/>
          <w:bottom w:val="nil"/>
          <w:right w:val="nil"/>
          <w:between w:val="nil"/>
        </w:pBdr>
        <w:tabs>
          <w:tab w:val="left" w:pos="432"/>
          <w:tab w:val="left" w:pos="1157"/>
        </w:tabs>
        <w:spacing w:after="120" w:line="360" w:lineRule="auto"/>
        <w:rPr>
          <w:rFonts w:ascii="Arial" w:eastAsia="Arial" w:hAnsi="Arial" w:cs="Arial"/>
          <w:color w:val="010000"/>
          <w:sz w:val="20"/>
          <w:szCs w:val="20"/>
        </w:rPr>
      </w:pPr>
      <w:r w:rsidRPr="006E4639">
        <w:rPr>
          <w:rFonts w:ascii="Arial" w:hAnsi="Arial" w:cs="Arial"/>
          <w:color w:val="010000"/>
          <w:sz w:val="20"/>
        </w:rPr>
        <w:t>Record date: March 22, 2024</w:t>
      </w:r>
    </w:p>
    <w:p w14:paraId="00000005" w14:textId="77777777" w:rsidR="003E3B49" w:rsidRPr="006E4639" w:rsidRDefault="006E4639" w:rsidP="008F0B30">
      <w:pPr>
        <w:numPr>
          <w:ilvl w:val="0"/>
          <w:numId w:val="1"/>
        </w:numPr>
        <w:pBdr>
          <w:top w:val="nil"/>
          <w:left w:val="nil"/>
          <w:bottom w:val="nil"/>
          <w:right w:val="nil"/>
          <w:between w:val="nil"/>
        </w:pBdr>
        <w:tabs>
          <w:tab w:val="left" w:pos="432"/>
          <w:tab w:val="left" w:pos="1168"/>
        </w:tabs>
        <w:spacing w:after="120" w:line="360" w:lineRule="auto"/>
        <w:rPr>
          <w:rFonts w:ascii="Arial" w:eastAsia="Arial" w:hAnsi="Arial" w:cs="Arial"/>
          <w:color w:val="010000"/>
          <w:sz w:val="20"/>
          <w:szCs w:val="20"/>
        </w:rPr>
      </w:pPr>
      <w:r w:rsidRPr="006E4639">
        <w:rPr>
          <w:rFonts w:ascii="Arial" w:hAnsi="Arial" w:cs="Arial"/>
          <w:color w:val="010000"/>
          <w:sz w:val="20"/>
        </w:rPr>
        <w:t>Reason and purpose: Record the list of shareholders to attend the Annual General Meeting of Shareholders 2023 (Additional meeting in 2024 as the Annual General Meeting of Shareholders has not been held in 2023).</w:t>
      </w:r>
    </w:p>
    <w:p w14:paraId="00000006" w14:textId="77777777" w:rsidR="003E3B49" w:rsidRPr="006E4639" w:rsidRDefault="006E4639" w:rsidP="008F0B30">
      <w:pPr>
        <w:numPr>
          <w:ilvl w:val="0"/>
          <w:numId w:val="1"/>
        </w:numPr>
        <w:pBdr>
          <w:top w:val="nil"/>
          <w:left w:val="nil"/>
          <w:bottom w:val="nil"/>
          <w:right w:val="nil"/>
          <w:between w:val="nil"/>
        </w:pBdr>
        <w:tabs>
          <w:tab w:val="left" w:pos="432"/>
          <w:tab w:val="left" w:pos="1158"/>
        </w:tabs>
        <w:spacing w:after="120" w:line="360" w:lineRule="auto"/>
        <w:rPr>
          <w:rFonts w:ascii="Arial" w:eastAsia="Arial" w:hAnsi="Arial" w:cs="Arial"/>
          <w:color w:val="010000"/>
          <w:sz w:val="20"/>
          <w:szCs w:val="20"/>
        </w:rPr>
      </w:pPr>
      <w:r w:rsidRPr="006E4639">
        <w:rPr>
          <w:rFonts w:ascii="Arial" w:hAnsi="Arial" w:cs="Arial"/>
          <w:color w:val="010000"/>
          <w:sz w:val="20"/>
        </w:rPr>
        <w:t>Time and venue of the Annual General Meeting of Shareholders 2023: The Company will have a specific announcement later.</w:t>
      </w:r>
    </w:p>
    <w:p w14:paraId="00000007" w14:textId="77777777" w:rsidR="003E3B49" w:rsidRPr="006E4639" w:rsidRDefault="006E4639" w:rsidP="008F0B30">
      <w:pPr>
        <w:numPr>
          <w:ilvl w:val="0"/>
          <w:numId w:val="1"/>
        </w:numPr>
        <w:pBdr>
          <w:top w:val="nil"/>
          <w:left w:val="nil"/>
          <w:bottom w:val="nil"/>
          <w:right w:val="nil"/>
          <w:between w:val="nil"/>
        </w:pBdr>
        <w:tabs>
          <w:tab w:val="left" w:pos="432"/>
          <w:tab w:val="left" w:pos="1158"/>
        </w:tabs>
        <w:spacing w:after="120" w:line="360" w:lineRule="auto"/>
        <w:rPr>
          <w:rFonts w:ascii="Arial" w:eastAsia="Arial" w:hAnsi="Arial" w:cs="Arial"/>
          <w:color w:val="010000"/>
          <w:sz w:val="20"/>
          <w:szCs w:val="20"/>
        </w:rPr>
      </w:pPr>
      <w:r w:rsidRPr="006E4639">
        <w:rPr>
          <w:rFonts w:ascii="Arial" w:hAnsi="Arial" w:cs="Arial"/>
          <w:color w:val="010000"/>
          <w:sz w:val="20"/>
        </w:rPr>
        <w:t>Meeting contents: The Company will have a specific announcement later.</w:t>
      </w:r>
    </w:p>
    <w:p w14:paraId="00000008" w14:textId="33B41E13" w:rsidR="003E3B49" w:rsidRPr="006E4639" w:rsidRDefault="006E4639" w:rsidP="008F0B3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4639">
        <w:rPr>
          <w:rFonts w:ascii="Arial" w:hAnsi="Arial" w:cs="Arial"/>
          <w:color w:val="010000"/>
          <w:sz w:val="20"/>
        </w:rPr>
        <w:t>Article 2: Assign the Chair of the Board of Directors and the General Manager of Dai Truong Thanh Holdings Energy Investment Joint Stock Company to direct the implementation of necessary procedures to approve the record date to exercise shareholders’ rights to attend the Annual General Meeting of Shareholders 2023 according to current regulations.</w:t>
      </w:r>
    </w:p>
    <w:p w14:paraId="00000009" w14:textId="77777777" w:rsidR="003E3B49" w:rsidRPr="006E4639" w:rsidRDefault="006E4639" w:rsidP="008F0B3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4639">
        <w:rPr>
          <w:rFonts w:ascii="Arial" w:hAnsi="Arial" w:cs="Arial"/>
          <w:color w:val="010000"/>
          <w:sz w:val="20"/>
        </w:rPr>
        <w:t xml:space="preserve">Article 3: Members of the Board of Directors, the Supervisory Board, the Board of Management and </w:t>
      </w:r>
      <w:proofErr w:type="gramStart"/>
      <w:r w:rsidRPr="006E4639">
        <w:rPr>
          <w:rFonts w:ascii="Arial" w:hAnsi="Arial" w:cs="Arial"/>
          <w:color w:val="010000"/>
          <w:sz w:val="20"/>
        </w:rPr>
        <w:t>other</w:t>
      </w:r>
      <w:proofErr w:type="gramEnd"/>
      <w:r w:rsidRPr="006E4639">
        <w:rPr>
          <w:rFonts w:ascii="Arial" w:hAnsi="Arial" w:cs="Arial"/>
          <w:color w:val="010000"/>
          <w:sz w:val="20"/>
        </w:rPr>
        <w:t xml:space="preserve"> related departments and individuals are responsible for implementing this Resolution.</w:t>
      </w:r>
    </w:p>
    <w:sectPr w:rsidR="003E3B49" w:rsidRPr="006E4639" w:rsidSect="008F0B30">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F92780"/>
    <w:multiLevelType w:val="multilevel"/>
    <w:tmpl w:val="30720F38"/>
    <w:lvl w:ilvl="0">
      <w:start w:val="1"/>
      <w:numFmt w:val="bullet"/>
      <w:lvlText w:val="-"/>
      <w:lvlJc w:val="left"/>
      <w:pPr>
        <w:ind w:left="0" w:firstLine="0"/>
      </w:pPr>
      <w:rPr>
        <w:rFonts w:ascii="Arial" w:eastAsia="Arial" w:hAnsi="Arial" w:cs="Arial"/>
        <w:b w:val="0"/>
        <w:i w:val="0"/>
        <w:smallCaps w:val="0"/>
        <w:strike w:val="0"/>
        <w:color w:val="616265"/>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B49"/>
    <w:rsid w:val="003828B9"/>
    <w:rsid w:val="003E3B49"/>
    <w:rsid w:val="006E4639"/>
    <w:rsid w:val="008F0B30"/>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6C90FB"/>
  <w15:docId w15:val="{45D0D431-C6BE-4704-A9B9-C3D169DDE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7B7C80"/>
      <w:sz w:val="28"/>
      <w:szCs w:val="28"/>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color w:val="7B7C8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7B7C80"/>
      <w:sz w:val="22"/>
      <w:szCs w:val="22"/>
      <w:u w:val="none"/>
      <w:shd w:val="clear" w:color="auto" w:fill="auto"/>
    </w:rPr>
  </w:style>
  <w:style w:type="paragraph" w:customStyle="1" w:styleId="Vnbnnidung0">
    <w:name w:val="Văn bản nội dung"/>
    <w:basedOn w:val="Normal"/>
    <w:link w:val="Vnbnnidung"/>
    <w:pPr>
      <w:spacing w:line="269" w:lineRule="auto"/>
      <w:ind w:firstLine="400"/>
    </w:pPr>
    <w:rPr>
      <w:rFonts w:ascii="Times New Roman" w:eastAsia="Times New Roman" w:hAnsi="Times New Roman" w:cs="Times New Roman"/>
      <w:color w:val="7B7C80"/>
      <w:sz w:val="28"/>
      <w:szCs w:val="28"/>
    </w:rPr>
  </w:style>
  <w:style w:type="paragraph" w:customStyle="1" w:styleId="Tiu10">
    <w:name w:val="Tiêu đề #1"/>
    <w:basedOn w:val="Normal"/>
    <w:link w:val="Tiu1"/>
    <w:pPr>
      <w:spacing w:line="276" w:lineRule="auto"/>
      <w:outlineLvl w:val="0"/>
    </w:pPr>
    <w:rPr>
      <w:rFonts w:ascii="Times New Roman" w:eastAsia="Times New Roman" w:hAnsi="Times New Roman" w:cs="Times New Roman"/>
      <w:b/>
      <w:bCs/>
      <w:color w:val="7B7C80"/>
      <w:sz w:val="26"/>
      <w:szCs w:val="26"/>
    </w:rPr>
  </w:style>
  <w:style w:type="paragraph" w:customStyle="1" w:styleId="Vnbnnidung20">
    <w:name w:val="Văn bản nội dung (2)"/>
    <w:basedOn w:val="Normal"/>
    <w:link w:val="Vnbnnidung2"/>
    <w:pPr>
      <w:spacing w:line="288" w:lineRule="auto"/>
    </w:pPr>
    <w:rPr>
      <w:rFonts w:ascii="Times New Roman" w:eastAsia="Times New Roman" w:hAnsi="Times New Roman" w:cs="Times New Roman"/>
      <w:color w:val="7B7C80"/>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Oz8eoIiN1P01Paz76Ri6UQ+KSQ==">CgMxLjAyCGguZ2pkZ3hzOAByITFDVGhpQU5veDhnQ3hqN2FVcmhrR2NOR0VuV1ZER2djXw==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2024-03-01T03:39:00Z</dcterms:created>
  <dcterms:modified xsi:type="dcterms:W3CDTF">2024-03-01T03:39:00Z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29a5996b3873d68cc32c14325984aa21f234727d637d8472578e296659f30eef</vt:lpwstr>
  </property>
</Properties>
</file>