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8CC396C"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BC669E">
        <w:rPr>
          <w:rFonts w:ascii="Arial" w:hAnsi="Arial" w:cs="Arial"/>
          <w:b/>
          <w:color w:val="010000"/>
          <w:sz w:val="20"/>
        </w:rPr>
        <w:t>MST:</w:t>
      </w:r>
      <w:r w:rsidR="008A6A50" w:rsidRPr="00BC669E">
        <w:rPr>
          <w:rFonts w:ascii="Arial" w:hAnsi="Arial" w:cs="Arial"/>
          <w:b/>
          <w:color w:val="010000"/>
          <w:sz w:val="20"/>
        </w:rPr>
        <w:t xml:space="preserve"> </w:t>
      </w:r>
      <w:r w:rsidRPr="00BC669E">
        <w:rPr>
          <w:rFonts w:ascii="Arial" w:hAnsi="Arial" w:cs="Arial"/>
          <w:b/>
          <w:color w:val="010000"/>
          <w:sz w:val="20"/>
        </w:rPr>
        <w:t>Board Resolution</w:t>
      </w:r>
    </w:p>
    <w:p w14:paraId="00000002" w14:textId="19A00D28"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On February 28, 2024, MST Investment Joint Stock Company announced Resolution No. 01/2024/NQ-H</w:t>
      </w:r>
      <w:r w:rsidR="008A6A50" w:rsidRPr="00BC669E">
        <w:rPr>
          <w:rFonts w:ascii="Arial" w:hAnsi="Arial" w:cs="Arial"/>
          <w:color w:val="010000"/>
          <w:sz w:val="20"/>
        </w:rPr>
        <w:t>D</w:t>
      </w:r>
      <w:r w:rsidRPr="00BC669E">
        <w:rPr>
          <w:rFonts w:ascii="Arial" w:hAnsi="Arial" w:cs="Arial"/>
          <w:color w:val="010000"/>
          <w:sz w:val="20"/>
        </w:rPr>
        <w:t>QT on the implementation of a private placement plan for offering to professional securities investors according to the list approved at the Extraordinary General Meeting of Shareholders 2024, and the approval of the registration dossier for private placement as follows:</w:t>
      </w:r>
    </w:p>
    <w:p w14:paraId="00000003" w14:textId="5533E78E"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Article 1: Implement the private placement plan for offering to professional securities investors according to the list approved at the Extraordinary General Meeting of Shareholders 2024, and the plan</w:t>
      </w:r>
      <w:r w:rsidR="008A6A50" w:rsidRPr="00BC669E">
        <w:rPr>
          <w:rFonts w:ascii="Arial" w:hAnsi="Arial" w:cs="Arial"/>
          <w:color w:val="010000"/>
          <w:sz w:val="20"/>
        </w:rPr>
        <w:t xml:space="preserve"> to</w:t>
      </w:r>
      <w:r w:rsidRPr="00BC669E">
        <w:rPr>
          <w:rFonts w:ascii="Arial" w:hAnsi="Arial" w:cs="Arial"/>
          <w:color w:val="010000"/>
          <w:sz w:val="20"/>
        </w:rPr>
        <w:t xml:space="preserve"> ensure the share issuance</w:t>
      </w:r>
      <w:r w:rsidR="008A6A50" w:rsidRPr="00BC669E">
        <w:rPr>
          <w:rFonts w:ascii="Arial" w:hAnsi="Arial" w:cs="Arial"/>
          <w:color w:val="010000"/>
          <w:sz w:val="20"/>
        </w:rPr>
        <w:t xml:space="preserve"> meets</w:t>
      </w:r>
      <w:r w:rsidRPr="00BC669E">
        <w:rPr>
          <w:rFonts w:ascii="Arial" w:hAnsi="Arial" w:cs="Arial"/>
          <w:color w:val="010000"/>
          <w:sz w:val="20"/>
        </w:rPr>
        <w:t xml:space="preserve"> the foreign ownership rate. In details:</w:t>
      </w:r>
    </w:p>
    <w:p w14:paraId="00000004" w14:textId="2C2582C3" w:rsidR="008B3D6D" w:rsidRPr="00BC669E" w:rsidRDefault="00BC669E" w:rsidP="00200E04">
      <w:pPr>
        <w:numPr>
          <w:ilvl w:val="0"/>
          <w:numId w:val="1"/>
        </w:numPr>
        <w:pBdr>
          <w:top w:val="nil"/>
          <w:left w:val="nil"/>
          <w:bottom w:val="nil"/>
          <w:right w:val="nil"/>
          <w:between w:val="nil"/>
        </w:pBdr>
        <w:tabs>
          <w:tab w:val="left" w:pos="450"/>
          <w:tab w:val="left" w:pos="1306"/>
        </w:tabs>
        <w:spacing w:after="120" w:line="360" w:lineRule="auto"/>
        <w:jc w:val="both"/>
        <w:rPr>
          <w:rFonts w:ascii="Arial" w:eastAsia="Arial" w:hAnsi="Arial" w:cs="Arial"/>
          <w:color w:val="010000"/>
          <w:sz w:val="20"/>
          <w:szCs w:val="20"/>
        </w:rPr>
      </w:pPr>
      <w:r w:rsidRPr="00BC669E">
        <w:rPr>
          <w:rFonts w:ascii="Arial" w:hAnsi="Arial" w:cs="Arial"/>
          <w:color w:val="010000"/>
          <w:sz w:val="20"/>
        </w:rPr>
        <w:t xml:space="preserve">Implement the plan to issue 70,000,000 private placement shares for offering to 13 domestic professional securities investors according to the list approved at the Extraordinary General Meeting of Shareholders 2024, as per General Mandate No. 01/2024/NQ-DHDCD dated April 22, 2024. </w:t>
      </w:r>
    </w:p>
    <w:p w14:paraId="00000005" w14:textId="681675B5" w:rsidR="008B3D6D" w:rsidRPr="00BC669E" w:rsidRDefault="00BC669E" w:rsidP="00200E04">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BC669E">
        <w:rPr>
          <w:rFonts w:ascii="Arial" w:hAnsi="Arial" w:cs="Arial"/>
          <w:color w:val="010000"/>
          <w:sz w:val="20"/>
        </w:rPr>
        <w:t xml:space="preserve">According to the latest shareholder list </w:t>
      </w:r>
      <w:r w:rsidR="008A6A50" w:rsidRPr="00BC669E">
        <w:rPr>
          <w:rFonts w:ascii="Arial" w:hAnsi="Arial" w:cs="Arial"/>
          <w:color w:val="010000"/>
          <w:sz w:val="20"/>
        </w:rPr>
        <w:t>recorded on</w:t>
      </w:r>
      <w:r w:rsidRPr="00BC669E">
        <w:rPr>
          <w:rFonts w:ascii="Arial" w:hAnsi="Arial" w:cs="Arial"/>
          <w:color w:val="010000"/>
          <w:sz w:val="20"/>
        </w:rPr>
        <w:t xml:space="preserve"> January 15, 2024, the foreign ownership rate in the Company is: 215,108 shares, equivalent to 0.28%;</w:t>
      </w:r>
    </w:p>
    <w:p w14:paraId="00000007" w14:textId="29E424D5"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Under the private placement plan approved in General Mandate No. 01/2024/NQ-DHDCD dated April 22, 2024, 70,000,000 shares will be offered for sale to 13 domestic professional securities investors. Therefore, the number of privately placed shares for foreign investors in this round is 0 shares, equivalent to 0% of the number of shares for issuance. The foreign ownership rate after this issuance will be: 215,108 shares, equivalent to 0.15% ownership;</w:t>
      </w:r>
    </w:p>
    <w:p w14:paraId="00000008" w14:textId="0AD9FB11"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The private placement</w:t>
      </w:r>
      <w:r w:rsidR="0049221F" w:rsidRPr="00BC669E">
        <w:rPr>
          <w:rFonts w:ascii="Arial" w:hAnsi="Arial" w:cs="Arial"/>
          <w:color w:val="010000"/>
          <w:sz w:val="20"/>
        </w:rPr>
        <w:t xml:space="preserve"> of</w:t>
      </w:r>
      <w:r w:rsidRPr="00BC669E">
        <w:rPr>
          <w:rFonts w:ascii="Arial" w:hAnsi="Arial" w:cs="Arial"/>
          <w:color w:val="010000"/>
          <w:sz w:val="20"/>
        </w:rPr>
        <w:t xml:space="preserve"> shares is only for domestic professional securities investors and will ensure that the foreign ownership rate does not exceed the foreign investor holding limit as prescribed.</w:t>
      </w:r>
    </w:p>
    <w:p w14:paraId="00000009" w14:textId="66CB26BF"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The Company commits to always complying with the laws about the ownership rate of foreign investors before, during</w:t>
      </w:r>
      <w:r w:rsidR="00200E04">
        <w:rPr>
          <w:rFonts w:ascii="Arial" w:hAnsi="Arial" w:cs="Arial"/>
          <w:color w:val="010000"/>
          <w:sz w:val="20"/>
        </w:rPr>
        <w:t>,</w:t>
      </w:r>
      <w:r w:rsidRPr="00BC669E">
        <w:rPr>
          <w:rFonts w:ascii="Arial" w:hAnsi="Arial" w:cs="Arial"/>
          <w:color w:val="010000"/>
          <w:sz w:val="20"/>
        </w:rPr>
        <w:t xml:space="preserve"> and after the issuance.</w:t>
      </w:r>
    </w:p>
    <w:p w14:paraId="0000000A" w14:textId="316B0B87"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 xml:space="preserve">Article 2: Approve the plan </w:t>
      </w:r>
      <w:r w:rsidR="00200E04">
        <w:rPr>
          <w:rFonts w:ascii="Arial" w:hAnsi="Arial" w:cs="Arial"/>
          <w:color w:val="010000"/>
          <w:sz w:val="20"/>
        </w:rPr>
        <w:t>for</w:t>
      </w:r>
      <w:r w:rsidRPr="00BC669E">
        <w:rPr>
          <w:rFonts w:ascii="Arial" w:hAnsi="Arial" w:cs="Arial"/>
          <w:color w:val="010000"/>
          <w:sz w:val="20"/>
        </w:rPr>
        <w:t xml:space="preserve"> private </w:t>
      </w:r>
      <w:r w:rsidR="0071564A" w:rsidRPr="00BC669E">
        <w:rPr>
          <w:rFonts w:ascii="Arial" w:hAnsi="Arial" w:cs="Arial"/>
          <w:color w:val="010000"/>
          <w:sz w:val="20"/>
        </w:rPr>
        <w:t>placement</w:t>
      </w:r>
      <w:r w:rsidRPr="00BC669E">
        <w:rPr>
          <w:rFonts w:ascii="Arial" w:hAnsi="Arial" w:cs="Arial"/>
          <w:color w:val="010000"/>
          <w:sz w:val="20"/>
        </w:rPr>
        <w:t xml:space="preserve"> for professional securities investors. Specifically:</w:t>
      </w:r>
    </w:p>
    <w:p w14:paraId="0000000B" w14:textId="05309272"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 xml:space="preserve">The Board of Directors approved the registration dossiers of the private placement for offering to professional securities investors to be submitted to the State Securities </w:t>
      </w:r>
      <w:r w:rsidR="0071564A" w:rsidRPr="00BC669E">
        <w:rPr>
          <w:rFonts w:ascii="Arial" w:hAnsi="Arial" w:cs="Arial"/>
          <w:color w:val="010000"/>
          <w:sz w:val="20"/>
        </w:rPr>
        <w:t>Commission</w:t>
      </w:r>
      <w:r w:rsidRPr="00BC669E">
        <w:rPr>
          <w:rFonts w:ascii="Arial" w:hAnsi="Arial" w:cs="Arial"/>
          <w:color w:val="010000"/>
          <w:sz w:val="20"/>
        </w:rPr>
        <w:t xml:space="preserve"> as per the provisions of law, specifically:</w:t>
      </w:r>
    </w:p>
    <w:p w14:paraId="0000000C" w14:textId="15BCAEE9" w:rsidR="008B3D6D" w:rsidRPr="00BC669E" w:rsidRDefault="00BC669E" w:rsidP="00200E04">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BC669E">
        <w:rPr>
          <w:rFonts w:ascii="Arial" w:hAnsi="Arial" w:cs="Arial"/>
          <w:color w:val="010000"/>
          <w:sz w:val="20"/>
        </w:rPr>
        <w:t xml:space="preserve">Registration </w:t>
      </w:r>
      <w:r w:rsidR="0071564A" w:rsidRPr="00BC669E">
        <w:rPr>
          <w:rFonts w:ascii="Arial" w:hAnsi="Arial" w:cs="Arial"/>
          <w:color w:val="010000"/>
          <w:sz w:val="20"/>
        </w:rPr>
        <w:t>document</w:t>
      </w:r>
      <w:r w:rsidRPr="00BC669E">
        <w:rPr>
          <w:rFonts w:ascii="Arial" w:hAnsi="Arial" w:cs="Arial"/>
          <w:color w:val="010000"/>
          <w:sz w:val="20"/>
        </w:rPr>
        <w:t xml:space="preserve"> of the private placement.</w:t>
      </w:r>
    </w:p>
    <w:p w14:paraId="0000000D" w14:textId="72A6136E" w:rsidR="008B3D6D" w:rsidRPr="00BC669E" w:rsidRDefault="00BC669E" w:rsidP="00200E04">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BC669E">
        <w:rPr>
          <w:rFonts w:ascii="Arial" w:hAnsi="Arial" w:cs="Arial"/>
          <w:color w:val="010000"/>
          <w:sz w:val="20"/>
        </w:rPr>
        <w:t>Extraordinary General Mandate 2024 No. 01/2024/NQ-DHDCD dated February 22, 2024</w:t>
      </w:r>
      <w:r w:rsidR="00200E04">
        <w:rPr>
          <w:rFonts w:ascii="Arial" w:hAnsi="Arial" w:cs="Arial"/>
          <w:color w:val="010000"/>
          <w:sz w:val="20"/>
        </w:rPr>
        <w:t>,</w:t>
      </w:r>
      <w:r w:rsidRPr="00BC669E">
        <w:rPr>
          <w:rFonts w:ascii="Arial" w:hAnsi="Arial" w:cs="Arial"/>
          <w:color w:val="010000"/>
          <w:sz w:val="20"/>
        </w:rPr>
        <w:t xml:space="preserve"> on approving the plan to offer and use the proceeds from the offering.</w:t>
      </w:r>
    </w:p>
    <w:p w14:paraId="0000000E" w14:textId="77777777"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The General Mandate includes criteria for selecting the entities to be offered and the expected list of offerings, as well as the plan to ensure the issuance of shares to meet the foreign ownership rate.</w:t>
      </w:r>
    </w:p>
    <w:p w14:paraId="0000000F" w14:textId="77777777" w:rsidR="008B3D6D" w:rsidRPr="00BC669E" w:rsidRDefault="00BC669E" w:rsidP="00200E04">
      <w:pPr>
        <w:numPr>
          <w:ilvl w:val="0"/>
          <w:numId w:val="1"/>
        </w:numPr>
        <w:pBdr>
          <w:top w:val="nil"/>
          <w:left w:val="nil"/>
          <w:bottom w:val="nil"/>
          <w:right w:val="nil"/>
          <w:between w:val="nil"/>
        </w:pBdr>
        <w:tabs>
          <w:tab w:val="left" w:pos="450"/>
          <w:tab w:val="left" w:pos="1286"/>
          <w:tab w:val="left" w:pos="10660"/>
        </w:tabs>
        <w:spacing w:after="120" w:line="360" w:lineRule="auto"/>
        <w:jc w:val="both"/>
        <w:rPr>
          <w:rFonts w:ascii="Arial" w:eastAsia="Arial" w:hAnsi="Arial" w:cs="Arial"/>
          <w:color w:val="010000"/>
          <w:sz w:val="20"/>
          <w:szCs w:val="20"/>
        </w:rPr>
      </w:pPr>
      <w:r w:rsidRPr="00BC669E">
        <w:rPr>
          <w:rFonts w:ascii="Arial" w:hAnsi="Arial" w:cs="Arial"/>
          <w:color w:val="010000"/>
          <w:sz w:val="20"/>
        </w:rPr>
        <w:t xml:space="preserve">Board Resolution on approving the registration dossier for the offering of private placement. </w:t>
      </w:r>
    </w:p>
    <w:p w14:paraId="00000010" w14:textId="20DF87FA" w:rsidR="008B3D6D" w:rsidRPr="00BC669E" w:rsidRDefault="00BC669E" w:rsidP="00200E04">
      <w:pPr>
        <w:numPr>
          <w:ilvl w:val="0"/>
          <w:numId w:val="1"/>
        </w:numPr>
        <w:pBdr>
          <w:top w:val="nil"/>
          <w:left w:val="nil"/>
          <w:bottom w:val="nil"/>
          <w:right w:val="nil"/>
          <w:between w:val="nil"/>
        </w:pBdr>
        <w:tabs>
          <w:tab w:val="left" w:pos="450"/>
          <w:tab w:val="left" w:pos="1286"/>
          <w:tab w:val="left" w:pos="10660"/>
        </w:tabs>
        <w:spacing w:after="120" w:line="360" w:lineRule="auto"/>
        <w:jc w:val="both"/>
        <w:rPr>
          <w:rFonts w:ascii="Arial" w:eastAsia="Arial" w:hAnsi="Arial" w:cs="Arial"/>
          <w:color w:val="010000"/>
          <w:sz w:val="20"/>
          <w:szCs w:val="20"/>
        </w:rPr>
      </w:pPr>
      <w:r w:rsidRPr="00BC669E">
        <w:rPr>
          <w:rFonts w:ascii="Arial" w:hAnsi="Arial" w:cs="Arial"/>
          <w:color w:val="010000"/>
          <w:sz w:val="20"/>
        </w:rPr>
        <w:t xml:space="preserve">The issuer's commitment </w:t>
      </w:r>
      <w:r w:rsidR="00200E04">
        <w:rPr>
          <w:rFonts w:ascii="Arial" w:hAnsi="Arial" w:cs="Arial"/>
          <w:color w:val="010000"/>
          <w:sz w:val="20"/>
        </w:rPr>
        <w:t>to</w:t>
      </w:r>
      <w:r w:rsidRPr="00BC669E">
        <w:rPr>
          <w:rFonts w:ascii="Arial" w:hAnsi="Arial" w:cs="Arial"/>
          <w:color w:val="010000"/>
          <w:sz w:val="20"/>
        </w:rPr>
        <w:t xml:space="preserve"> compliance with the regulations on cross-ownership. </w:t>
      </w:r>
    </w:p>
    <w:p w14:paraId="00000011" w14:textId="08E497C2" w:rsidR="008B3D6D" w:rsidRPr="00BC669E" w:rsidRDefault="00BC669E" w:rsidP="00200E04">
      <w:pPr>
        <w:numPr>
          <w:ilvl w:val="0"/>
          <w:numId w:val="1"/>
        </w:numPr>
        <w:pBdr>
          <w:top w:val="nil"/>
          <w:left w:val="nil"/>
          <w:bottom w:val="nil"/>
          <w:right w:val="nil"/>
          <w:between w:val="nil"/>
        </w:pBdr>
        <w:tabs>
          <w:tab w:val="left" w:pos="450"/>
          <w:tab w:val="left" w:pos="1306"/>
        </w:tabs>
        <w:spacing w:after="120" w:line="360" w:lineRule="auto"/>
        <w:jc w:val="both"/>
        <w:rPr>
          <w:rFonts w:ascii="Arial" w:eastAsia="Arial" w:hAnsi="Arial" w:cs="Arial"/>
          <w:color w:val="010000"/>
          <w:sz w:val="20"/>
          <w:szCs w:val="20"/>
        </w:rPr>
      </w:pPr>
      <w:r w:rsidRPr="00BC669E">
        <w:rPr>
          <w:rFonts w:ascii="Arial" w:hAnsi="Arial" w:cs="Arial"/>
          <w:color w:val="010000"/>
          <w:sz w:val="20"/>
        </w:rPr>
        <w:t>The written confirmation of the banks and foreign branches on the opening of an escrow account.</w:t>
      </w:r>
    </w:p>
    <w:p w14:paraId="00000012" w14:textId="77777777" w:rsidR="008B3D6D" w:rsidRPr="00BC669E" w:rsidRDefault="00BC669E" w:rsidP="00200E04">
      <w:pPr>
        <w:numPr>
          <w:ilvl w:val="0"/>
          <w:numId w:val="1"/>
        </w:numPr>
        <w:pBdr>
          <w:top w:val="nil"/>
          <w:left w:val="nil"/>
          <w:bottom w:val="nil"/>
          <w:right w:val="nil"/>
          <w:between w:val="nil"/>
        </w:pBdr>
        <w:tabs>
          <w:tab w:val="left" w:pos="450"/>
          <w:tab w:val="left" w:pos="1306"/>
        </w:tabs>
        <w:spacing w:after="120" w:line="360" w:lineRule="auto"/>
        <w:jc w:val="both"/>
        <w:rPr>
          <w:rFonts w:ascii="Arial" w:eastAsia="Arial" w:hAnsi="Arial" w:cs="Arial"/>
          <w:color w:val="010000"/>
          <w:sz w:val="20"/>
          <w:szCs w:val="20"/>
        </w:rPr>
      </w:pPr>
      <w:r w:rsidRPr="00BC669E">
        <w:rPr>
          <w:rFonts w:ascii="Arial" w:hAnsi="Arial" w:cs="Arial"/>
          <w:color w:val="010000"/>
          <w:sz w:val="20"/>
        </w:rPr>
        <w:t>Documents proving the professional securities investor eligibility of the investors in the issuance.</w:t>
      </w:r>
    </w:p>
    <w:p w14:paraId="00000013" w14:textId="77777777" w:rsidR="008B3D6D" w:rsidRPr="00BC669E" w:rsidRDefault="00BC669E" w:rsidP="00200E04">
      <w:pPr>
        <w:numPr>
          <w:ilvl w:val="0"/>
          <w:numId w:val="1"/>
        </w:numPr>
        <w:pBdr>
          <w:top w:val="nil"/>
          <w:left w:val="nil"/>
          <w:bottom w:val="nil"/>
          <w:right w:val="nil"/>
          <w:between w:val="nil"/>
        </w:pBdr>
        <w:tabs>
          <w:tab w:val="left" w:pos="450"/>
          <w:tab w:val="left" w:pos="1306"/>
        </w:tabs>
        <w:spacing w:after="120" w:line="360" w:lineRule="auto"/>
        <w:jc w:val="both"/>
        <w:rPr>
          <w:rFonts w:ascii="Arial" w:eastAsia="Arial" w:hAnsi="Arial" w:cs="Arial"/>
          <w:color w:val="010000"/>
          <w:sz w:val="20"/>
          <w:szCs w:val="20"/>
        </w:rPr>
      </w:pPr>
      <w:r w:rsidRPr="00BC669E">
        <w:rPr>
          <w:rFonts w:ascii="Arial" w:hAnsi="Arial" w:cs="Arial"/>
          <w:color w:val="010000"/>
          <w:sz w:val="20"/>
        </w:rPr>
        <w:lastRenderedPageBreak/>
        <w:t>Other relevant documents.</w:t>
      </w:r>
    </w:p>
    <w:p w14:paraId="00000014" w14:textId="3A704DCC"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 xml:space="preserve">Article 3: The Board of Directors has assigned the Chair of the Board of Directors to direct the relevant individuals to submit the application dossier to the State Securities Commission for approval of the issuance plan; </w:t>
      </w:r>
      <w:r w:rsidR="00200E04">
        <w:rPr>
          <w:rFonts w:ascii="Arial" w:hAnsi="Arial" w:cs="Arial"/>
          <w:color w:val="010000"/>
          <w:sz w:val="20"/>
        </w:rPr>
        <w:t xml:space="preserve">and </w:t>
      </w:r>
      <w:r w:rsidRPr="00BC669E">
        <w:rPr>
          <w:rFonts w:ascii="Arial" w:hAnsi="Arial" w:cs="Arial"/>
          <w:color w:val="010000"/>
          <w:sz w:val="20"/>
        </w:rPr>
        <w:t>distribute the number of shares to professional securities investors according to the approved plan at the Extraordinary General Meeting of Shareholders 2024; carry out necessary tasks to supplement documents to complete the dossier and other related documents as required by the State Securities Commission (if any) during the process of evaluating the dossier, and report the results to the Company's Board of Directors after the issuance is completed.</w:t>
      </w:r>
    </w:p>
    <w:p w14:paraId="00000015" w14:textId="77777777"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Article 4: Terms of enforcement</w:t>
      </w:r>
    </w:p>
    <w:p w14:paraId="00000016" w14:textId="77777777"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This Resolution takes effect from the date of its signing.</w:t>
      </w:r>
    </w:p>
    <w:p w14:paraId="00000017" w14:textId="01656BFF" w:rsidR="008B3D6D" w:rsidRPr="00BC669E" w:rsidRDefault="00BC669E" w:rsidP="00200E0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BC669E">
        <w:rPr>
          <w:rFonts w:ascii="Arial" w:hAnsi="Arial" w:cs="Arial"/>
          <w:color w:val="010000"/>
          <w:sz w:val="20"/>
        </w:rPr>
        <w:t>Members of the Board of Directors, the Board of Management, the Chief Accountant</w:t>
      </w:r>
      <w:r w:rsidR="00200E04">
        <w:rPr>
          <w:rFonts w:ascii="Arial" w:hAnsi="Arial" w:cs="Arial"/>
          <w:color w:val="010000"/>
          <w:sz w:val="20"/>
        </w:rPr>
        <w:t>,</w:t>
      </w:r>
      <w:bookmarkStart w:id="0" w:name="_GoBack"/>
      <w:bookmarkEnd w:id="0"/>
      <w:r w:rsidRPr="00BC669E">
        <w:rPr>
          <w:rFonts w:ascii="Arial" w:hAnsi="Arial" w:cs="Arial"/>
          <w:color w:val="010000"/>
          <w:sz w:val="20"/>
        </w:rPr>
        <w:t xml:space="preserve"> and related functional departments are responsible for the implementation of this Board Resolution.</w:t>
      </w:r>
    </w:p>
    <w:sectPr w:rsidR="008B3D6D" w:rsidRPr="00BC669E" w:rsidSect="008A6A5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29CF"/>
    <w:multiLevelType w:val="multilevel"/>
    <w:tmpl w:val="803E5F8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7B7774"/>
    <w:multiLevelType w:val="multilevel"/>
    <w:tmpl w:val="0290B2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ED93F23"/>
    <w:multiLevelType w:val="multilevel"/>
    <w:tmpl w:val="630A01E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6D"/>
    <w:rsid w:val="00200E04"/>
    <w:rsid w:val="0049221F"/>
    <w:rsid w:val="0071564A"/>
    <w:rsid w:val="008A6A50"/>
    <w:rsid w:val="008B3D6D"/>
    <w:rsid w:val="00BC66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798C9"/>
  <w15:docId w15:val="{83F4F25C-439E-4ED5-B376-B2E7C88C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2A2F"/>
      <w:sz w:val="10"/>
      <w:szCs w:val="1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E0506"/>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1E1C2A"/>
      <w:sz w:val="19"/>
      <w:szCs w:val="19"/>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line="331" w:lineRule="auto"/>
    </w:pP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color w:val="FF2A2F"/>
      <w:sz w:val="10"/>
      <w:szCs w:val="10"/>
    </w:rPr>
  </w:style>
  <w:style w:type="paragraph" w:customStyle="1" w:styleId="Bodytext30">
    <w:name w:val="Body text (3)"/>
    <w:basedOn w:val="Normal"/>
    <w:link w:val="Bodytext3"/>
    <w:pPr>
      <w:spacing w:line="228" w:lineRule="auto"/>
    </w:pPr>
    <w:rPr>
      <w:rFonts w:ascii="Times New Roman" w:eastAsia="Times New Roman" w:hAnsi="Times New Roman" w:cs="Times New Roman"/>
      <w:color w:val="FE0506"/>
      <w:sz w:val="16"/>
      <w:szCs w:val="16"/>
    </w:rPr>
  </w:style>
  <w:style w:type="paragraph" w:customStyle="1" w:styleId="Bodytext20">
    <w:name w:val="Body text (2)"/>
    <w:basedOn w:val="Normal"/>
    <w:link w:val="Bodytext2"/>
    <w:pPr>
      <w:spacing w:line="276" w:lineRule="auto"/>
      <w:ind w:left="570"/>
      <w:jc w:val="center"/>
    </w:pPr>
    <w:rPr>
      <w:rFonts w:ascii="Times New Roman" w:eastAsia="Times New Roman" w:hAnsi="Times New Roman" w:cs="Times New Roman"/>
      <w:b/>
      <w:bCs/>
      <w:color w:val="1E1C2A"/>
      <w:sz w:val="19"/>
      <w:szCs w:val="19"/>
    </w:rPr>
  </w:style>
  <w:style w:type="paragraph" w:customStyle="1" w:styleId="Other0">
    <w:name w:val="Other"/>
    <w:basedOn w:val="Normal"/>
    <w:link w:val="Other"/>
    <w:pPr>
      <w:spacing w:line="331"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sf8XqM7VUSLEKG6puyJbg8+fow==">CgMxLjA4AHIhMThFQ295SFFUa29EU1F1WUFXelcxQUg2VC0ycGU0REsy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3397</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2024-02-29T03:39:00Z</dcterms:created>
  <dcterms:modified xsi:type="dcterms:W3CDTF">2024-03-01T03:01:00Z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2eadd84bf0d20fbd105151ae202a427ffdd05df328ef6ec0ad05695f79ca13f3</vt:lpwstr>
  </property>
</Properties>
</file>