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421B7" w14:textId="282C37FA" w:rsidR="000B088C" w:rsidRDefault="0067140C">
      <w:pPr>
        <w:spacing w:after="120" w:line="360" w:lineRule="auto"/>
        <w:rPr>
          <w:rFonts w:ascii="Arial" w:eastAsia="Arial" w:hAnsi="Arial" w:cs="Arial"/>
          <w:b/>
          <w:sz w:val="20"/>
          <w:szCs w:val="20"/>
        </w:rPr>
      </w:pPr>
      <w:r>
        <w:rPr>
          <w:rFonts w:ascii="Arial" w:hAnsi="Arial"/>
          <w:b/>
          <w:sz w:val="20"/>
          <w:szCs w:val="20"/>
        </w:rPr>
        <w:t>DAN: Expla</w:t>
      </w:r>
      <w:r w:rsidR="00CA46B2">
        <w:rPr>
          <w:rFonts w:ascii="Arial" w:hAnsi="Arial"/>
          <w:b/>
          <w:sz w:val="20"/>
          <w:szCs w:val="20"/>
        </w:rPr>
        <w:t xml:space="preserve">nation on </w:t>
      </w:r>
      <w:r w:rsidR="00CA46B2" w:rsidRPr="00CA46B2">
        <w:rPr>
          <w:rFonts w:ascii="Arial" w:hAnsi="Arial"/>
          <w:b/>
          <w:sz w:val="20"/>
          <w:szCs w:val="20"/>
        </w:rPr>
        <w:t>the difference of over 10% in profit after tax in 202</w:t>
      </w:r>
      <w:r w:rsidR="00A10B60">
        <w:rPr>
          <w:rFonts w:ascii="Arial" w:hAnsi="Arial"/>
          <w:b/>
          <w:sz w:val="20"/>
          <w:szCs w:val="20"/>
        </w:rPr>
        <w:t>3</w:t>
      </w:r>
      <w:r w:rsidR="00CA46B2" w:rsidRPr="00CA46B2">
        <w:rPr>
          <w:rFonts w:ascii="Arial" w:hAnsi="Arial"/>
          <w:b/>
          <w:sz w:val="20"/>
          <w:szCs w:val="20"/>
        </w:rPr>
        <w:t xml:space="preserve"> </w:t>
      </w:r>
      <w:r w:rsidR="00A10B60">
        <w:rPr>
          <w:rFonts w:ascii="Arial" w:hAnsi="Arial"/>
          <w:b/>
          <w:sz w:val="20"/>
          <w:szCs w:val="20"/>
        </w:rPr>
        <w:t>compared to the year 2022</w:t>
      </w:r>
    </w:p>
    <w:p w14:paraId="01DE36F6" w14:textId="3D5130D3" w:rsidR="000B088C" w:rsidRDefault="0067140C">
      <w:pPr>
        <w:spacing w:after="120" w:line="360" w:lineRule="auto"/>
        <w:rPr>
          <w:rFonts w:ascii="Arial" w:eastAsia="Arial" w:hAnsi="Arial" w:cs="Arial"/>
          <w:sz w:val="20"/>
          <w:szCs w:val="20"/>
        </w:rPr>
      </w:pPr>
      <w:r>
        <w:rPr>
          <w:rFonts w:ascii="Arial" w:hAnsi="Arial"/>
          <w:sz w:val="20"/>
          <w:szCs w:val="20"/>
        </w:rPr>
        <w:t xml:space="preserve">On March </w:t>
      </w:r>
      <w:r w:rsidR="00A10B60">
        <w:rPr>
          <w:rFonts w:ascii="Arial" w:hAnsi="Arial"/>
          <w:sz w:val="20"/>
          <w:szCs w:val="20"/>
        </w:rPr>
        <w:t>04, 2024</w:t>
      </w:r>
      <w:r>
        <w:rPr>
          <w:rFonts w:ascii="Arial" w:hAnsi="Arial"/>
          <w:sz w:val="20"/>
          <w:szCs w:val="20"/>
        </w:rPr>
        <w:t xml:space="preserve">, </w:t>
      </w:r>
      <w:proofErr w:type="spellStart"/>
      <w:r>
        <w:rPr>
          <w:rFonts w:ascii="Arial" w:hAnsi="Arial"/>
          <w:sz w:val="20"/>
          <w:szCs w:val="20"/>
        </w:rPr>
        <w:t>Danapha</w:t>
      </w:r>
      <w:proofErr w:type="spellEnd"/>
      <w:r>
        <w:rPr>
          <w:rFonts w:ascii="Arial" w:hAnsi="Arial"/>
          <w:sz w:val="20"/>
          <w:szCs w:val="20"/>
        </w:rPr>
        <w:t xml:space="preserve"> Pharmaceutical Joint Stock Company announced Official Dispatch No. </w:t>
      </w:r>
      <w:r w:rsidR="00A10B60">
        <w:rPr>
          <w:rFonts w:ascii="Arial" w:hAnsi="Arial"/>
          <w:sz w:val="20"/>
          <w:szCs w:val="20"/>
        </w:rPr>
        <w:t>233/DAN on explaining</w:t>
      </w:r>
      <w:r w:rsidR="00A10B60" w:rsidRPr="00A10B60">
        <w:rPr>
          <w:rFonts w:ascii="Arial" w:hAnsi="Arial"/>
          <w:sz w:val="20"/>
          <w:szCs w:val="20"/>
        </w:rPr>
        <w:t xml:space="preserve"> </w:t>
      </w:r>
      <w:r w:rsidR="00A10B60">
        <w:rPr>
          <w:rFonts w:ascii="Arial" w:hAnsi="Arial"/>
          <w:sz w:val="20"/>
          <w:szCs w:val="20"/>
        </w:rPr>
        <w:t xml:space="preserve">on </w:t>
      </w:r>
      <w:r w:rsidR="00A10B60" w:rsidRPr="00A10B60">
        <w:rPr>
          <w:rFonts w:ascii="Arial" w:hAnsi="Arial"/>
          <w:sz w:val="20"/>
          <w:szCs w:val="20"/>
        </w:rPr>
        <w:t>that profit after tax in 2023 increased by 55.3% compared to 2022, as follows:</w:t>
      </w:r>
    </w:p>
    <w:p w14:paraId="44EF27CD" w14:textId="77777777" w:rsidR="000B088C" w:rsidRDefault="0067140C">
      <w:pPr>
        <w:spacing w:after="120" w:line="360" w:lineRule="auto"/>
        <w:jc w:val="right"/>
        <w:rPr>
          <w:rFonts w:ascii="Arial" w:eastAsia="Arial" w:hAnsi="Arial" w:cs="Arial"/>
          <w:sz w:val="20"/>
          <w:szCs w:val="20"/>
        </w:rPr>
      </w:pPr>
      <w:r>
        <w:rPr>
          <w:rFonts w:ascii="Arial" w:hAnsi="Arial"/>
          <w:sz w:val="20"/>
          <w:szCs w:val="20"/>
        </w:rPr>
        <w:t>Unit: VND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067"/>
        <w:gridCol w:w="2257"/>
        <w:gridCol w:w="1607"/>
        <w:gridCol w:w="930"/>
      </w:tblGrid>
      <w:tr w:rsidR="000B088C" w14:paraId="62F89004" w14:textId="77777777" w:rsidTr="00A10B60">
        <w:tc>
          <w:tcPr>
            <w:tcW w:w="2155" w:type="dxa"/>
            <w:vMerge w:val="restart"/>
            <w:vAlign w:val="center"/>
          </w:tcPr>
          <w:p w14:paraId="25D6B24D" w14:textId="77777777" w:rsidR="000B088C" w:rsidRDefault="0067140C">
            <w:pPr>
              <w:spacing w:after="120" w:line="360" w:lineRule="auto"/>
              <w:jc w:val="center"/>
              <w:rPr>
                <w:rFonts w:ascii="Arial" w:eastAsia="Arial" w:hAnsi="Arial" w:cs="Arial"/>
                <w:sz w:val="20"/>
                <w:szCs w:val="20"/>
              </w:rPr>
            </w:pPr>
            <w:r>
              <w:rPr>
                <w:rFonts w:ascii="Arial" w:hAnsi="Arial"/>
                <w:sz w:val="20"/>
                <w:szCs w:val="20"/>
              </w:rPr>
              <w:t>Target</w:t>
            </w:r>
          </w:p>
        </w:tc>
        <w:tc>
          <w:tcPr>
            <w:tcW w:w="2067" w:type="dxa"/>
            <w:vMerge w:val="restart"/>
            <w:vAlign w:val="center"/>
          </w:tcPr>
          <w:p w14:paraId="388301C0" w14:textId="4B96B316" w:rsidR="000B088C" w:rsidRDefault="00A10B60" w:rsidP="00A10B60">
            <w:pPr>
              <w:spacing w:after="120" w:line="360" w:lineRule="auto"/>
              <w:jc w:val="center"/>
              <w:rPr>
                <w:rFonts w:ascii="Arial" w:eastAsia="Arial" w:hAnsi="Arial" w:cs="Arial"/>
                <w:sz w:val="20"/>
                <w:szCs w:val="20"/>
              </w:rPr>
            </w:pPr>
            <w:r>
              <w:rPr>
                <w:rFonts w:ascii="Arial" w:hAnsi="Arial"/>
                <w:sz w:val="20"/>
                <w:szCs w:val="20"/>
              </w:rPr>
              <w:t>2023</w:t>
            </w:r>
          </w:p>
        </w:tc>
        <w:tc>
          <w:tcPr>
            <w:tcW w:w="2257" w:type="dxa"/>
            <w:vMerge w:val="restart"/>
            <w:vAlign w:val="center"/>
          </w:tcPr>
          <w:p w14:paraId="14E6EB0F" w14:textId="4C9B87AD" w:rsidR="000B088C" w:rsidRDefault="00A10B60" w:rsidP="00A10B60">
            <w:pPr>
              <w:spacing w:after="120" w:line="360" w:lineRule="auto"/>
              <w:jc w:val="center"/>
              <w:rPr>
                <w:rFonts w:ascii="Arial" w:eastAsia="Arial" w:hAnsi="Arial" w:cs="Arial"/>
                <w:sz w:val="20"/>
                <w:szCs w:val="20"/>
              </w:rPr>
            </w:pPr>
            <w:r>
              <w:rPr>
                <w:rFonts w:ascii="Arial" w:hAnsi="Arial"/>
                <w:sz w:val="20"/>
                <w:szCs w:val="20"/>
              </w:rPr>
              <w:t>2022</w:t>
            </w:r>
          </w:p>
        </w:tc>
        <w:tc>
          <w:tcPr>
            <w:tcW w:w="2537" w:type="dxa"/>
            <w:gridSpan w:val="2"/>
            <w:vAlign w:val="center"/>
          </w:tcPr>
          <w:p w14:paraId="79D45CC9" w14:textId="0E6D07AD" w:rsidR="000B088C" w:rsidRDefault="00DD204B">
            <w:pPr>
              <w:spacing w:after="120" w:line="360" w:lineRule="auto"/>
              <w:jc w:val="center"/>
              <w:rPr>
                <w:rFonts w:ascii="Arial" w:eastAsia="Arial" w:hAnsi="Arial" w:cs="Arial"/>
                <w:sz w:val="20"/>
                <w:szCs w:val="20"/>
              </w:rPr>
            </w:pPr>
            <w:r>
              <w:rPr>
                <w:rFonts w:ascii="Arial" w:hAnsi="Arial"/>
                <w:sz w:val="20"/>
                <w:szCs w:val="20"/>
              </w:rPr>
              <w:t>Difference</w:t>
            </w:r>
            <w:r w:rsidR="0067140C">
              <w:rPr>
                <w:rFonts w:ascii="Arial" w:hAnsi="Arial"/>
                <w:sz w:val="20"/>
                <w:szCs w:val="20"/>
              </w:rPr>
              <w:t xml:space="preserve"> </w:t>
            </w:r>
          </w:p>
        </w:tc>
      </w:tr>
      <w:tr w:rsidR="000B088C" w14:paraId="1C02DE16" w14:textId="77777777" w:rsidTr="00A10B60">
        <w:tc>
          <w:tcPr>
            <w:tcW w:w="2155" w:type="dxa"/>
            <w:vMerge/>
            <w:vAlign w:val="center"/>
          </w:tcPr>
          <w:p w14:paraId="74B9D32D" w14:textId="77777777" w:rsidR="000B088C" w:rsidRDefault="000B088C">
            <w:pPr>
              <w:pBdr>
                <w:top w:val="nil"/>
                <w:left w:val="nil"/>
                <w:bottom w:val="nil"/>
                <w:right w:val="nil"/>
                <w:between w:val="nil"/>
              </w:pBdr>
              <w:spacing w:line="276" w:lineRule="auto"/>
              <w:rPr>
                <w:rFonts w:ascii="Arial" w:eastAsia="Arial" w:hAnsi="Arial" w:cs="Arial"/>
                <w:sz w:val="20"/>
                <w:szCs w:val="20"/>
              </w:rPr>
            </w:pPr>
          </w:p>
        </w:tc>
        <w:tc>
          <w:tcPr>
            <w:tcW w:w="2067" w:type="dxa"/>
            <w:vMerge/>
            <w:vAlign w:val="center"/>
          </w:tcPr>
          <w:p w14:paraId="17E74A81" w14:textId="77777777" w:rsidR="000B088C" w:rsidRDefault="000B088C">
            <w:pPr>
              <w:pBdr>
                <w:top w:val="nil"/>
                <w:left w:val="nil"/>
                <w:bottom w:val="nil"/>
                <w:right w:val="nil"/>
                <w:between w:val="nil"/>
              </w:pBdr>
              <w:spacing w:line="276" w:lineRule="auto"/>
              <w:rPr>
                <w:rFonts w:ascii="Arial" w:eastAsia="Arial" w:hAnsi="Arial" w:cs="Arial"/>
                <w:sz w:val="20"/>
                <w:szCs w:val="20"/>
              </w:rPr>
            </w:pPr>
          </w:p>
        </w:tc>
        <w:tc>
          <w:tcPr>
            <w:tcW w:w="2257" w:type="dxa"/>
            <w:vMerge/>
            <w:vAlign w:val="center"/>
          </w:tcPr>
          <w:p w14:paraId="1F21F2BC" w14:textId="77777777" w:rsidR="000B088C" w:rsidRDefault="000B088C">
            <w:pPr>
              <w:pBdr>
                <w:top w:val="nil"/>
                <w:left w:val="nil"/>
                <w:bottom w:val="nil"/>
                <w:right w:val="nil"/>
                <w:between w:val="nil"/>
              </w:pBdr>
              <w:spacing w:line="276" w:lineRule="auto"/>
              <w:rPr>
                <w:rFonts w:ascii="Arial" w:eastAsia="Arial" w:hAnsi="Arial" w:cs="Arial"/>
                <w:sz w:val="20"/>
                <w:szCs w:val="20"/>
              </w:rPr>
            </w:pPr>
          </w:p>
        </w:tc>
        <w:tc>
          <w:tcPr>
            <w:tcW w:w="1607" w:type="dxa"/>
            <w:vAlign w:val="center"/>
          </w:tcPr>
          <w:p w14:paraId="7469CECA" w14:textId="26C586F8" w:rsidR="000B088C" w:rsidRDefault="00A10B60" w:rsidP="00A10B60">
            <w:pPr>
              <w:spacing w:after="120" w:line="360" w:lineRule="auto"/>
              <w:jc w:val="center"/>
              <w:rPr>
                <w:rFonts w:ascii="Arial" w:eastAsia="Arial" w:hAnsi="Arial" w:cs="Arial"/>
                <w:sz w:val="20"/>
                <w:szCs w:val="20"/>
              </w:rPr>
            </w:pPr>
            <w:r>
              <w:rPr>
                <w:rFonts w:ascii="Arial" w:hAnsi="Arial"/>
                <w:sz w:val="20"/>
                <w:szCs w:val="20"/>
              </w:rPr>
              <w:t>Amount</w:t>
            </w:r>
          </w:p>
        </w:tc>
        <w:tc>
          <w:tcPr>
            <w:tcW w:w="930" w:type="dxa"/>
            <w:vAlign w:val="center"/>
          </w:tcPr>
          <w:p w14:paraId="1A2F19F0" w14:textId="170018AD" w:rsidR="000B088C" w:rsidRDefault="00A10B60" w:rsidP="00A10B60">
            <w:pPr>
              <w:spacing w:after="120" w:line="360" w:lineRule="auto"/>
              <w:jc w:val="center"/>
              <w:rPr>
                <w:rFonts w:ascii="Arial" w:eastAsia="Arial" w:hAnsi="Arial" w:cs="Arial"/>
                <w:sz w:val="20"/>
                <w:szCs w:val="20"/>
              </w:rPr>
            </w:pPr>
            <w:r>
              <w:rPr>
                <w:rFonts w:ascii="Arial" w:hAnsi="Arial"/>
                <w:sz w:val="20"/>
                <w:szCs w:val="20"/>
              </w:rPr>
              <w:t>Rate</w:t>
            </w:r>
          </w:p>
        </w:tc>
      </w:tr>
      <w:tr w:rsidR="000B088C" w14:paraId="620C9E8E" w14:textId="77777777" w:rsidTr="00A10B60">
        <w:tc>
          <w:tcPr>
            <w:tcW w:w="2155" w:type="dxa"/>
            <w:vAlign w:val="center"/>
          </w:tcPr>
          <w:p w14:paraId="350EB9ED" w14:textId="5B3F5A8A" w:rsidR="000B088C" w:rsidRDefault="0067140C">
            <w:pPr>
              <w:spacing w:after="120" w:line="360" w:lineRule="auto"/>
              <w:rPr>
                <w:rFonts w:ascii="Arial" w:eastAsia="Arial" w:hAnsi="Arial" w:cs="Arial"/>
                <w:sz w:val="20"/>
                <w:szCs w:val="20"/>
              </w:rPr>
            </w:pPr>
            <w:r>
              <w:rPr>
                <w:rFonts w:ascii="Arial" w:hAnsi="Arial"/>
                <w:sz w:val="20"/>
                <w:szCs w:val="20"/>
              </w:rPr>
              <w:t xml:space="preserve">Profit after </w:t>
            </w:r>
            <w:r w:rsidR="00A10B60">
              <w:rPr>
                <w:rFonts w:ascii="Arial" w:hAnsi="Arial"/>
                <w:sz w:val="20"/>
                <w:szCs w:val="20"/>
              </w:rPr>
              <w:t>c</w:t>
            </w:r>
            <w:r w:rsidR="00A10B60" w:rsidRPr="00A10B60">
              <w:rPr>
                <w:rFonts w:ascii="Arial" w:hAnsi="Arial"/>
                <w:sz w:val="20"/>
                <w:szCs w:val="20"/>
              </w:rPr>
              <w:t>orporate income tax</w:t>
            </w:r>
          </w:p>
        </w:tc>
        <w:tc>
          <w:tcPr>
            <w:tcW w:w="2067" w:type="dxa"/>
            <w:vAlign w:val="center"/>
          </w:tcPr>
          <w:p w14:paraId="10FF7AF6" w14:textId="69ECB487" w:rsidR="000B088C" w:rsidRDefault="00A10B60">
            <w:pPr>
              <w:spacing w:after="120" w:line="360" w:lineRule="auto"/>
              <w:jc w:val="right"/>
              <w:rPr>
                <w:rFonts w:ascii="Arial" w:eastAsia="Arial" w:hAnsi="Arial" w:cs="Arial"/>
                <w:sz w:val="20"/>
                <w:szCs w:val="20"/>
              </w:rPr>
            </w:pPr>
            <w:bookmarkStart w:id="0" w:name="_GoBack"/>
            <w:bookmarkEnd w:id="0"/>
            <w:r>
              <w:rPr>
                <w:rFonts w:ascii="Arial" w:hAnsi="Arial"/>
                <w:sz w:val="20"/>
                <w:szCs w:val="20"/>
              </w:rPr>
              <w:t>76,564,639,205</w:t>
            </w:r>
          </w:p>
        </w:tc>
        <w:tc>
          <w:tcPr>
            <w:tcW w:w="2257" w:type="dxa"/>
            <w:vAlign w:val="center"/>
          </w:tcPr>
          <w:p w14:paraId="341CFC3F" w14:textId="27683657" w:rsidR="000B088C" w:rsidRDefault="00A10B60">
            <w:pPr>
              <w:spacing w:after="120" w:line="360" w:lineRule="auto"/>
              <w:jc w:val="right"/>
              <w:rPr>
                <w:rFonts w:ascii="Arial" w:eastAsia="Arial" w:hAnsi="Arial" w:cs="Arial"/>
                <w:sz w:val="20"/>
                <w:szCs w:val="20"/>
              </w:rPr>
            </w:pPr>
            <w:r>
              <w:rPr>
                <w:rFonts w:ascii="Arial" w:hAnsi="Arial"/>
                <w:sz w:val="20"/>
                <w:szCs w:val="20"/>
              </w:rPr>
              <w:t>49,313,408,415</w:t>
            </w:r>
          </w:p>
        </w:tc>
        <w:tc>
          <w:tcPr>
            <w:tcW w:w="1607" w:type="dxa"/>
            <w:vAlign w:val="center"/>
          </w:tcPr>
          <w:p w14:paraId="5705BE4C" w14:textId="227FCD86" w:rsidR="000B088C" w:rsidRDefault="00A10B60">
            <w:pPr>
              <w:spacing w:after="120" w:line="360" w:lineRule="auto"/>
              <w:jc w:val="right"/>
              <w:rPr>
                <w:rFonts w:ascii="Arial" w:eastAsia="Arial" w:hAnsi="Arial" w:cs="Arial"/>
                <w:sz w:val="20"/>
                <w:szCs w:val="20"/>
              </w:rPr>
            </w:pPr>
            <w:r>
              <w:rPr>
                <w:rFonts w:ascii="Arial" w:hAnsi="Arial"/>
                <w:sz w:val="20"/>
                <w:szCs w:val="20"/>
              </w:rPr>
              <w:t>27,251,230,790</w:t>
            </w:r>
          </w:p>
        </w:tc>
        <w:tc>
          <w:tcPr>
            <w:tcW w:w="930" w:type="dxa"/>
            <w:vAlign w:val="center"/>
          </w:tcPr>
          <w:p w14:paraId="12625968" w14:textId="436916FA" w:rsidR="000B088C" w:rsidRDefault="00A10B60">
            <w:pPr>
              <w:spacing w:after="120" w:line="360" w:lineRule="auto"/>
              <w:jc w:val="right"/>
              <w:rPr>
                <w:rFonts w:ascii="Arial" w:eastAsia="Arial" w:hAnsi="Arial" w:cs="Arial"/>
                <w:sz w:val="20"/>
                <w:szCs w:val="20"/>
              </w:rPr>
            </w:pPr>
            <w:r>
              <w:rPr>
                <w:rFonts w:ascii="Arial" w:hAnsi="Arial"/>
                <w:sz w:val="20"/>
                <w:szCs w:val="20"/>
              </w:rPr>
              <w:t>55.3</w:t>
            </w:r>
            <w:r w:rsidR="0067140C">
              <w:rPr>
                <w:rFonts w:ascii="Arial" w:hAnsi="Arial"/>
                <w:sz w:val="20"/>
                <w:szCs w:val="20"/>
              </w:rPr>
              <w:t>%</w:t>
            </w:r>
          </w:p>
        </w:tc>
      </w:tr>
    </w:tbl>
    <w:p w14:paraId="192B9B22" w14:textId="77777777" w:rsidR="000B088C" w:rsidRDefault="000B088C">
      <w:pPr>
        <w:spacing w:after="120" w:line="360" w:lineRule="auto"/>
        <w:rPr>
          <w:rFonts w:ascii="Arial" w:eastAsia="Arial" w:hAnsi="Arial" w:cs="Arial"/>
          <w:sz w:val="20"/>
          <w:szCs w:val="20"/>
        </w:rPr>
      </w:pPr>
    </w:p>
    <w:p w14:paraId="38EB3042" w14:textId="6CA056E1" w:rsidR="000B088C" w:rsidRDefault="00A10B60">
      <w:pPr>
        <w:spacing w:after="120" w:line="360" w:lineRule="auto"/>
        <w:rPr>
          <w:rFonts w:ascii="Arial" w:eastAsia="Arial" w:hAnsi="Arial" w:cs="Arial"/>
          <w:sz w:val="20"/>
          <w:szCs w:val="20"/>
        </w:rPr>
      </w:pPr>
      <w:r w:rsidRPr="00A10B60">
        <w:rPr>
          <w:rFonts w:ascii="Arial" w:eastAsia="Arial" w:hAnsi="Arial" w:cs="Arial"/>
          <w:sz w:val="20"/>
          <w:szCs w:val="20"/>
        </w:rPr>
        <w:t>Profit after tax in 2023 increases by 55.3% compared to 2022, equivalent to about 27.2 billion</w:t>
      </w:r>
      <w:r>
        <w:rPr>
          <w:rFonts w:ascii="Arial" w:eastAsia="Arial" w:hAnsi="Arial" w:cs="Arial"/>
          <w:sz w:val="20"/>
          <w:szCs w:val="20"/>
        </w:rPr>
        <w:t xml:space="preserve"> due to t</w:t>
      </w:r>
      <w:r w:rsidRPr="00A10B60">
        <w:rPr>
          <w:rFonts w:ascii="Arial" w:eastAsia="Arial" w:hAnsi="Arial" w:cs="Arial"/>
          <w:sz w:val="20"/>
          <w:szCs w:val="20"/>
        </w:rPr>
        <w:t>he main reason is that in 2023</w:t>
      </w:r>
      <w:r>
        <w:rPr>
          <w:rFonts w:ascii="Arial" w:eastAsia="Arial" w:hAnsi="Arial" w:cs="Arial"/>
          <w:sz w:val="20"/>
          <w:szCs w:val="20"/>
        </w:rPr>
        <w:t>,</w:t>
      </w:r>
      <w:r w:rsidRPr="00A10B60">
        <w:rPr>
          <w:rFonts w:ascii="Arial" w:eastAsia="Arial" w:hAnsi="Arial" w:cs="Arial"/>
          <w:sz w:val="20"/>
          <w:szCs w:val="20"/>
        </w:rPr>
        <w:t xml:space="preserve"> there </w:t>
      </w:r>
      <w:r>
        <w:rPr>
          <w:rFonts w:ascii="Arial" w:eastAsia="Arial" w:hAnsi="Arial" w:cs="Arial"/>
          <w:sz w:val="20"/>
          <w:szCs w:val="20"/>
        </w:rPr>
        <w:t>was u</w:t>
      </w:r>
      <w:r w:rsidRPr="00A10B60">
        <w:rPr>
          <w:rFonts w:ascii="Arial" w:eastAsia="Arial" w:hAnsi="Arial" w:cs="Arial"/>
          <w:sz w:val="20"/>
          <w:szCs w:val="20"/>
        </w:rPr>
        <w:t>niform growth in revenue in export sales channels and domestic channels. The increase in Revenue is due to the Company's Executive Board promptly implementing reasonable sales policies, consistent with the market situation.</w:t>
      </w:r>
    </w:p>
    <w:p w14:paraId="31A723B4" w14:textId="77777777" w:rsidR="000B088C" w:rsidRDefault="000B088C">
      <w:pPr>
        <w:spacing w:after="120" w:line="360" w:lineRule="auto"/>
        <w:rPr>
          <w:rFonts w:ascii="Arial" w:eastAsia="Arial" w:hAnsi="Arial" w:cs="Arial"/>
          <w:sz w:val="20"/>
          <w:szCs w:val="20"/>
        </w:rPr>
      </w:pPr>
    </w:p>
    <w:p w14:paraId="74116E0E" w14:textId="77777777" w:rsidR="000B088C" w:rsidRDefault="000B088C">
      <w:pPr>
        <w:spacing w:after="120" w:line="360" w:lineRule="auto"/>
        <w:rPr>
          <w:rFonts w:ascii="Arial" w:eastAsia="Arial" w:hAnsi="Arial" w:cs="Arial"/>
          <w:sz w:val="20"/>
          <w:szCs w:val="20"/>
        </w:rPr>
      </w:pPr>
      <w:bookmarkStart w:id="1" w:name="_heading=h.gjdgxs"/>
      <w:bookmarkEnd w:id="1"/>
    </w:p>
    <w:sectPr w:rsidR="000B088C">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roman"/>
    <w:notTrueType/>
    <w:pitch w:val="default"/>
  </w:font>
  <w:font w:name="Century Gothic">
    <w:panose1 w:val="020B0502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8C"/>
    <w:rsid w:val="000B088C"/>
    <w:rsid w:val="0067140C"/>
    <w:rsid w:val="00A10B60"/>
    <w:rsid w:val="00CA46B2"/>
    <w:rsid w:val="00DD20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1D76"/>
  <w15:docId w15:val="{55374E9E-DC86-4696-BF8B-B0D10FD9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EBEBEB"/>
      <w:sz w:val="76"/>
      <w:szCs w:val="76"/>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w w:val="80"/>
      <w:sz w:val="96"/>
      <w:szCs w:val="96"/>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Century Gothic" w:eastAsia="Century Gothic" w:hAnsi="Century Gothic" w:cs="Century Gothic"/>
      <w:b w:val="0"/>
      <w:bCs w:val="0"/>
      <w:i w:val="0"/>
      <w:iCs w:val="0"/>
      <w:smallCaps w:val="0"/>
      <w:strike w:val="0"/>
      <w:sz w:val="20"/>
      <w:szCs w:val="20"/>
      <w:u w:val="none"/>
      <w:lang w:val="en-US" w:eastAsia="en-US" w:bidi="en-US"/>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mallCaps/>
      <w:color w:val="EBEBEB"/>
      <w:sz w:val="76"/>
      <w:szCs w:val="76"/>
    </w:rPr>
  </w:style>
  <w:style w:type="paragraph" w:customStyle="1" w:styleId="Bodytext20">
    <w:name w:val="Body text (2)"/>
    <w:basedOn w:val="Normal"/>
    <w:link w:val="Bodytext2"/>
    <w:pPr>
      <w:shd w:val="clear" w:color="auto" w:fill="FFFFFF"/>
    </w:pPr>
    <w:rPr>
      <w:rFonts w:ascii="Trebuchet MS" w:eastAsia="Trebuchet MS" w:hAnsi="Trebuchet MS" w:cs="Trebuchet MS"/>
      <w:b/>
      <w:bCs/>
      <w:w w:val="80"/>
      <w:sz w:val="96"/>
      <w:szCs w:val="96"/>
      <w:u w:val="single"/>
    </w:rPr>
  </w:style>
  <w:style w:type="paragraph" w:styleId="BodyText">
    <w:name w:val="Body Text"/>
    <w:basedOn w:val="Normal"/>
    <w:link w:val="BodyTextChar"/>
    <w:qFormat/>
    <w:pPr>
      <w:shd w:val="clear" w:color="auto" w:fill="FFFFFF"/>
      <w:spacing w:line="384"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line="384"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Century Gothic" w:eastAsia="Century Gothic" w:hAnsi="Century Gothic" w:cs="Century Gothic"/>
      <w:sz w:val="20"/>
      <w:szCs w:val="20"/>
      <w:lang w:eastAsia="en-US" w:bidi="en-US"/>
    </w:rPr>
  </w:style>
  <w:style w:type="table" w:styleId="TableGrid">
    <w:name w:val="Table Grid"/>
    <w:basedOn w:val="TableNormal"/>
    <w:uiPriority w:val="39"/>
    <w:rsid w:val="007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pZr00P6CnpsgNkwwP6TYx85kw==">AMUW2mUOqaQzbPohQ1/qp11YltXXWVZBCuEDZE8KQ4fH/IM23kgxuEo7BoOeykyu1joJYJFSrNa5+nC0PGjhsVmWXAnGckG8cIW7bkv8Qi2HOm9xGbRIDP06t4QWGxtY6EH3l0xtCf97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Trinh Ha Phuong</cp:lastModifiedBy>
  <cp:revision>6</cp:revision>
  <dcterms:created xsi:type="dcterms:W3CDTF">2022-03-29T08:34:00Z</dcterms:created>
  <dcterms:modified xsi:type="dcterms:W3CDTF">2024-03-07T11:35:00Z</dcterms:modified>
</cp:coreProperties>
</file>