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731F1" w:rsidRPr="000334D9" w:rsidRDefault="000334D9" w:rsidP="007442D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334D9">
        <w:rPr>
          <w:rFonts w:ascii="Arial" w:hAnsi="Arial" w:cs="Arial"/>
          <w:b/>
          <w:color w:val="010000"/>
          <w:sz w:val="20"/>
        </w:rPr>
        <w:t>FCS: Board Resolution</w:t>
      </w:r>
    </w:p>
    <w:p w14:paraId="00000002" w14:textId="3C605456" w:rsidR="00A731F1" w:rsidRPr="000334D9" w:rsidRDefault="000334D9" w:rsidP="007442D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34D9">
        <w:rPr>
          <w:rFonts w:ascii="Arial" w:hAnsi="Arial" w:cs="Arial"/>
          <w:color w:val="010000"/>
          <w:sz w:val="20"/>
        </w:rPr>
        <w:t xml:space="preserve">On March 7, 2024, Ho Chi Minh City Food Joint Stock Company announced Resolution No. 03/NQ-LT-HDQT on canceling the list of shareholders having the rights to attend the Annual </w:t>
      </w:r>
      <w:r w:rsidR="007442DF">
        <w:rPr>
          <w:rFonts w:ascii="Arial" w:hAnsi="Arial" w:cs="Arial"/>
          <w:color w:val="010000"/>
          <w:sz w:val="20"/>
        </w:rPr>
        <w:t>General Meeting</w:t>
      </w:r>
      <w:r w:rsidRPr="000334D9">
        <w:rPr>
          <w:rFonts w:ascii="Arial" w:hAnsi="Arial" w:cs="Arial"/>
          <w:color w:val="010000"/>
          <w:sz w:val="20"/>
        </w:rPr>
        <w:t xml:space="preserve"> 2024 recorded on January 18, 2024 and approving the record date and content, time and venue of the </w:t>
      </w:r>
      <w:r w:rsidR="00407C73" w:rsidRPr="000334D9">
        <w:rPr>
          <w:rFonts w:ascii="Arial" w:hAnsi="Arial" w:cs="Arial"/>
          <w:color w:val="010000"/>
          <w:sz w:val="20"/>
        </w:rPr>
        <w:t xml:space="preserve">Annual </w:t>
      </w:r>
      <w:r w:rsidR="007442DF">
        <w:rPr>
          <w:rFonts w:ascii="Arial" w:hAnsi="Arial" w:cs="Arial"/>
          <w:color w:val="010000"/>
          <w:sz w:val="20"/>
        </w:rPr>
        <w:t>General Meeting</w:t>
      </w:r>
      <w:r w:rsidRPr="000334D9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77777777" w:rsidR="00A731F1" w:rsidRPr="000334D9" w:rsidRDefault="000334D9" w:rsidP="007442D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34D9">
        <w:rPr>
          <w:rFonts w:ascii="Arial" w:hAnsi="Arial" w:cs="Arial"/>
          <w:color w:val="010000"/>
          <w:sz w:val="20"/>
        </w:rPr>
        <w:t>‎‎Article 1. The Board of Directors approved the following contents:</w:t>
      </w:r>
    </w:p>
    <w:p w14:paraId="00000004" w14:textId="7B27604D" w:rsidR="00A731F1" w:rsidRPr="000334D9" w:rsidRDefault="000334D9" w:rsidP="007442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34D9">
        <w:rPr>
          <w:rFonts w:ascii="Arial" w:hAnsi="Arial" w:cs="Arial"/>
          <w:color w:val="010000"/>
          <w:sz w:val="20"/>
        </w:rPr>
        <w:t xml:space="preserve">Approve canceling the list of shareholders having the rights to attend the Annual </w:t>
      </w:r>
      <w:r w:rsidR="007442DF">
        <w:rPr>
          <w:rFonts w:ascii="Arial" w:hAnsi="Arial" w:cs="Arial"/>
          <w:color w:val="010000"/>
          <w:sz w:val="20"/>
        </w:rPr>
        <w:t>General Meeting</w:t>
      </w:r>
      <w:r w:rsidRPr="000334D9">
        <w:rPr>
          <w:rFonts w:ascii="Arial" w:hAnsi="Arial" w:cs="Arial"/>
          <w:color w:val="010000"/>
          <w:sz w:val="20"/>
        </w:rPr>
        <w:t xml:space="preserve"> 2024 recorded on January 18, 2024.</w:t>
      </w:r>
    </w:p>
    <w:p w14:paraId="00000005" w14:textId="7B4CB1C7" w:rsidR="00A731F1" w:rsidRPr="000334D9" w:rsidRDefault="000334D9" w:rsidP="007442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34D9">
        <w:rPr>
          <w:rFonts w:ascii="Arial" w:hAnsi="Arial" w:cs="Arial"/>
          <w:color w:val="010000"/>
          <w:sz w:val="20"/>
        </w:rPr>
        <w:t xml:space="preserve">Approve the record date on March 28, 2024 to record the list of shareholders attending the Annual </w:t>
      </w:r>
      <w:r w:rsidR="007442DF">
        <w:rPr>
          <w:rFonts w:ascii="Arial" w:hAnsi="Arial" w:cs="Arial"/>
          <w:color w:val="010000"/>
          <w:sz w:val="20"/>
        </w:rPr>
        <w:t>General Meeting</w:t>
      </w:r>
      <w:r w:rsidRPr="000334D9">
        <w:rPr>
          <w:rFonts w:ascii="Arial" w:hAnsi="Arial" w:cs="Arial"/>
          <w:color w:val="010000"/>
          <w:sz w:val="20"/>
        </w:rPr>
        <w:t xml:space="preserve"> 2024.</w:t>
      </w:r>
    </w:p>
    <w:p w14:paraId="00000006" w14:textId="77777777" w:rsidR="00A731F1" w:rsidRPr="000334D9" w:rsidRDefault="000334D9" w:rsidP="007442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34D9">
        <w:rPr>
          <w:rFonts w:ascii="Arial" w:hAnsi="Arial" w:cs="Arial"/>
          <w:color w:val="010000"/>
          <w:sz w:val="20"/>
        </w:rPr>
        <w:t>Expected contents of the Meeting:</w:t>
      </w:r>
    </w:p>
    <w:p w14:paraId="00000007" w14:textId="51E93B05" w:rsidR="00A731F1" w:rsidRPr="000334D9" w:rsidRDefault="000334D9" w:rsidP="00744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34D9">
        <w:rPr>
          <w:rFonts w:ascii="Arial" w:hAnsi="Arial" w:cs="Arial"/>
          <w:color w:val="010000"/>
          <w:sz w:val="20"/>
        </w:rPr>
        <w:t xml:space="preserve">Agenda of the Annual </w:t>
      </w:r>
      <w:r w:rsidR="007442DF">
        <w:rPr>
          <w:rFonts w:ascii="Arial" w:hAnsi="Arial" w:cs="Arial"/>
          <w:color w:val="010000"/>
          <w:sz w:val="20"/>
        </w:rPr>
        <w:t>General Meeting</w:t>
      </w:r>
      <w:r w:rsidRPr="000334D9">
        <w:rPr>
          <w:rFonts w:ascii="Arial" w:hAnsi="Arial" w:cs="Arial"/>
          <w:color w:val="010000"/>
          <w:sz w:val="20"/>
        </w:rPr>
        <w:t xml:space="preserve"> 2024;</w:t>
      </w:r>
    </w:p>
    <w:p w14:paraId="00000008" w14:textId="77FC97E6" w:rsidR="00A731F1" w:rsidRPr="000334D9" w:rsidRDefault="000334D9" w:rsidP="00744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34D9">
        <w:rPr>
          <w:rFonts w:ascii="Arial" w:hAnsi="Arial" w:cs="Arial"/>
          <w:color w:val="010000"/>
          <w:sz w:val="20"/>
        </w:rPr>
        <w:t xml:space="preserve">Draft working regulations for the Annual </w:t>
      </w:r>
      <w:r w:rsidR="007442DF">
        <w:rPr>
          <w:rFonts w:ascii="Arial" w:hAnsi="Arial" w:cs="Arial"/>
          <w:color w:val="010000"/>
          <w:sz w:val="20"/>
        </w:rPr>
        <w:t>General Meeting</w:t>
      </w:r>
      <w:r w:rsidRPr="000334D9">
        <w:rPr>
          <w:rFonts w:ascii="Arial" w:hAnsi="Arial" w:cs="Arial"/>
          <w:color w:val="010000"/>
          <w:sz w:val="20"/>
        </w:rPr>
        <w:t xml:space="preserve"> 2024;</w:t>
      </w:r>
    </w:p>
    <w:p w14:paraId="00000009" w14:textId="77777777" w:rsidR="00A731F1" w:rsidRPr="000334D9" w:rsidRDefault="000334D9" w:rsidP="00744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34D9">
        <w:rPr>
          <w:rFonts w:ascii="Arial" w:hAnsi="Arial" w:cs="Arial"/>
          <w:color w:val="010000"/>
          <w:sz w:val="20"/>
        </w:rPr>
        <w:t>Draft regulations for electing members of the Board of Directors and members of the Supervisory Board;</w:t>
      </w:r>
    </w:p>
    <w:p w14:paraId="0000000A" w14:textId="77777777" w:rsidR="00A731F1" w:rsidRPr="000334D9" w:rsidRDefault="000334D9" w:rsidP="00744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34D9">
        <w:rPr>
          <w:rFonts w:ascii="Arial" w:hAnsi="Arial" w:cs="Arial"/>
          <w:color w:val="010000"/>
          <w:sz w:val="20"/>
        </w:rPr>
        <w:t>Report of the Board of Directors on operating results in 2023 and operating orientation in 2024;</w:t>
      </w:r>
    </w:p>
    <w:p w14:paraId="0000000B" w14:textId="77777777" w:rsidR="00A731F1" w:rsidRPr="000334D9" w:rsidRDefault="000334D9" w:rsidP="00744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34D9">
        <w:rPr>
          <w:rFonts w:ascii="Arial" w:hAnsi="Arial" w:cs="Arial"/>
          <w:color w:val="010000"/>
          <w:sz w:val="20"/>
        </w:rPr>
        <w:t>Report of the Executive Board on production and business results in 2023 and orientations and tasks for 2024;</w:t>
      </w:r>
    </w:p>
    <w:p w14:paraId="0000000C" w14:textId="77777777" w:rsidR="00A731F1" w:rsidRPr="000334D9" w:rsidRDefault="000334D9" w:rsidP="00744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34D9">
        <w:rPr>
          <w:rFonts w:ascii="Arial" w:hAnsi="Arial" w:cs="Arial"/>
          <w:color w:val="010000"/>
          <w:sz w:val="20"/>
        </w:rPr>
        <w:t>Report of the Supervisory Board on operating results in 2023 and operating orientation in 2024;</w:t>
      </w:r>
    </w:p>
    <w:p w14:paraId="0000000D" w14:textId="77777777" w:rsidR="00A731F1" w:rsidRPr="000334D9" w:rsidRDefault="000334D9" w:rsidP="00744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34D9">
        <w:rPr>
          <w:rFonts w:ascii="Arial" w:hAnsi="Arial" w:cs="Arial"/>
          <w:color w:val="010000"/>
          <w:sz w:val="20"/>
        </w:rPr>
        <w:t>Audited Financial Statements 2023;</w:t>
      </w:r>
    </w:p>
    <w:p w14:paraId="0000000E" w14:textId="77777777" w:rsidR="00A731F1" w:rsidRPr="000334D9" w:rsidRDefault="000334D9" w:rsidP="00744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34D9">
        <w:rPr>
          <w:rFonts w:ascii="Arial" w:hAnsi="Arial" w:cs="Arial"/>
          <w:color w:val="010000"/>
          <w:sz w:val="20"/>
        </w:rPr>
        <w:t>Proposal on approving salaries and remunerations in 2023 and salary and remuneration plan for 2024;</w:t>
      </w:r>
    </w:p>
    <w:p w14:paraId="0000000F" w14:textId="77777777" w:rsidR="00A731F1" w:rsidRPr="000334D9" w:rsidRDefault="000334D9" w:rsidP="00744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34D9">
        <w:rPr>
          <w:rFonts w:ascii="Arial" w:hAnsi="Arial" w:cs="Arial"/>
          <w:color w:val="010000"/>
          <w:sz w:val="20"/>
        </w:rPr>
        <w:t>Proposal on profit distribution in 2023;</w:t>
      </w:r>
    </w:p>
    <w:p w14:paraId="00000010" w14:textId="77777777" w:rsidR="00A731F1" w:rsidRPr="000334D9" w:rsidRDefault="000334D9" w:rsidP="00744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34D9">
        <w:rPr>
          <w:rFonts w:ascii="Arial" w:hAnsi="Arial" w:cs="Arial"/>
          <w:color w:val="010000"/>
          <w:sz w:val="20"/>
        </w:rPr>
        <w:t>Proposal on approving the selection of an audit company in 2024;</w:t>
      </w:r>
    </w:p>
    <w:p w14:paraId="00000011" w14:textId="77777777" w:rsidR="00A731F1" w:rsidRPr="000334D9" w:rsidRDefault="000334D9" w:rsidP="00744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34D9">
        <w:rPr>
          <w:rFonts w:ascii="Arial" w:hAnsi="Arial" w:cs="Arial"/>
          <w:color w:val="010000"/>
          <w:sz w:val="20"/>
        </w:rPr>
        <w:t>Proposal on conducting transactions with affiliated individuals and organizations;</w:t>
      </w:r>
    </w:p>
    <w:p w14:paraId="00000012" w14:textId="5BB24F44" w:rsidR="00A731F1" w:rsidRPr="000334D9" w:rsidRDefault="000334D9" w:rsidP="00744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34D9">
        <w:rPr>
          <w:rFonts w:ascii="Arial" w:hAnsi="Arial" w:cs="Arial"/>
          <w:color w:val="010000"/>
          <w:sz w:val="20"/>
        </w:rPr>
        <w:t>Proposal on approving the dismissal and election for replacement of members of the Board of Directors and members of the Supervisory B</w:t>
      </w:r>
      <w:r w:rsidR="007442DF">
        <w:rPr>
          <w:rFonts w:ascii="Arial" w:hAnsi="Arial" w:cs="Arial"/>
          <w:color w:val="010000"/>
          <w:sz w:val="20"/>
        </w:rPr>
        <w:t>oard in the term of 2021 – 2026;</w:t>
      </w:r>
    </w:p>
    <w:p w14:paraId="00000013" w14:textId="77777777" w:rsidR="00A731F1" w:rsidRPr="000334D9" w:rsidRDefault="000334D9" w:rsidP="00744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34D9">
        <w:rPr>
          <w:rFonts w:ascii="Arial" w:hAnsi="Arial" w:cs="Arial"/>
          <w:color w:val="010000"/>
          <w:sz w:val="20"/>
        </w:rPr>
        <w:t xml:space="preserve">Proposal on the exemption from public offering to increase ownership rate at FCS of shareholders of Song </w:t>
      </w:r>
      <w:proofErr w:type="spellStart"/>
      <w:r w:rsidRPr="000334D9">
        <w:rPr>
          <w:rFonts w:ascii="Arial" w:hAnsi="Arial" w:cs="Arial"/>
          <w:color w:val="010000"/>
          <w:sz w:val="20"/>
        </w:rPr>
        <w:t>Moc</w:t>
      </w:r>
      <w:proofErr w:type="spellEnd"/>
      <w:r w:rsidRPr="000334D9">
        <w:rPr>
          <w:rFonts w:ascii="Arial" w:hAnsi="Arial" w:cs="Arial"/>
          <w:color w:val="010000"/>
          <w:sz w:val="20"/>
        </w:rPr>
        <w:t xml:space="preserve"> Investment Joint Stock Company;</w:t>
      </w:r>
    </w:p>
    <w:p w14:paraId="00000014" w14:textId="6277DBDB" w:rsidR="00A731F1" w:rsidRPr="000334D9" w:rsidRDefault="000334D9" w:rsidP="00744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34D9">
        <w:rPr>
          <w:rFonts w:ascii="Arial" w:hAnsi="Arial" w:cs="Arial"/>
          <w:color w:val="010000"/>
          <w:sz w:val="20"/>
        </w:rPr>
        <w:t xml:space="preserve">Other proposals and contents under the authorities of the </w:t>
      </w:r>
      <w:r w:rsidR="007442DF">
        <w:rPr>
          <w:rFonts w:ascii="Arial" w:hAnsi="Arial" w:cs="Arial"/>
          <w:color w:val="010000"/>
          <w:sz w:val="20"/>
        </w:rPr>
        <w:t>General Meeting</w:t>
      </w:r>
      <w:r w:rsidRPr="000334D9">
        <w:rPr>
          <w:rFonts w:ascii="Arial" w:hAnsi="Arial" w:cs="Arial"/>
          <w:color w:val="010000"/>
          <w:sz w:val="20"/>
        </w:rPr>
        <w:t xml:space="preserve"> (if any);</w:t>
      </w:r>
    </w:p>
    <w:p w14:paraId="00000015" w14:textId="77777777" w:rsidR="00A731F1" w:rsidRPr="000334D9" w:rsidRDefault="000334D9" w:rsidP="00744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34D9">
        <w:rPr>
          <w:rFonts w:ascii="Arial" w:hAnsi="Arial" w:cs="Arial"/>
          <w:color w:val="010000"/>
          <w:sz w:val="20"/>
        </w:rPr>
        <w:t>Draft Annual General Mandate 2024;</w:t>
      </w:r>
    </w:p>
    <w:p w14:paraId="00000016" w14:textId="77777777" w:rsidR="00A731F1" w:rsidRPr="000334D9" w:rsidRDefault="000334D9" w:rsidP="00744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34D9">
        <w:rPr>
          <w:rFonts w:ascii="Arial" w:hAnsi="Arial" w:cs="Arial"/>
          <w:color w:val="010000"/>
          <w:sz w:val="20"/>
        </w:rPr>
        <w:t>Voting card (Sample);</w:t>
      </w:r>
    </w:p>
    <w:p w14:paraId="00000017" w14:textId="77777777" w:rsidR="00A731F1" w:rsidRPr="000334D9" w:rsidRDefault="000334D9" w:rsidP="00744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34D9">
        <w:rPr>
          <w:rFonts w:ascii="Arial" w:hAnsi="Arial" w:cs="Arial"/>
          <w:color w:val="010000"/>
          <w:sz w:val="20"/>
        </w:rPr>
        <w:t>Voting form (Sample).</w:t>
      </w:r>
    </w:p>
    <w:p w14:paraId="00000018" w14:textId="26D3725D" w:rsidR="00A731F1" w:rsidRPr="000334D9" w:rsidRDefault="000334D9" w:rsidP="007442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34D9">
        <w:rPr>
          <w:rFonts w:ascii="Arial" w:hAnsi="Arial" w:cs="Arial"/>
          <w:color w:val="010000"/>
          <w:sz w:val="20"/>
        </w:rPr>
        <w:lastRenderedPageBreak/>
        <w:t xml:space="preserve">Expected meeting </w:t>
      </w:r>
      <w:r w:rsidR="007442DF">
        <w:rPr>
          <w:rFonts w:ascii="Arial" w:hAnsi="Arial" w:cs="Arial"/>
          <w:color w:val="010000"/>
          <w:sz w:val="20"/>
        </w:rPr>
        <w:t>date</w:t>
      </w:r>
      <w:r w:rsidRPr="000334D9">
        <w:rPr>
          <w:rFonts w:ascii="Arial" w:hAnsi="Arial" w:cs="Arial"/>
          <w:color w:val="010000"/>
          <w:sz w:val="20"/>
        </w:rPr>
        <w:t xml:space="preserve"> and venue:</w:t>
      </w:r>
    </w:p>
    <w:p w14:paraId="00000019" w14:textId="15139122" w:rsidR="00A731F1" w:rsidRPr="000334D9" w:rsidRDefault="007442DF" w:rsidP="00744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Date: 8:30a</w:t>
      </w:r>
      <w:r w:rsidR="000334D9" w:rsidRPr="000334D9">
        <w:rPr>
          <w:rFonts w:ascii="Arial" w:hAnsi="Arial" w:cs="Arial"/>
          <w:color w:val="010000"/>
          <w:sz w:val="20"/>
        </w:rPr>
        <w:t>m., Wednesday, April 24, 2024.</w:t>
      </w:r>
    </w:p>
    <w:p w14:paraId="0000001B" w14:textId="55C67775" w:rsidR="00A731F1" w:rsidRPr="000334D9" w:rsidRDefault="000334D9" w:rsidP="00744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34D9">
        <w:rPr>
          <w:rFonts w:ascii="Arial" w:hAnsi="Arial" w:cs="Arial"/>
          <w:color w:val="010000"/>
          <w:sz w:val="20"/>
        </w:rPr>
        <w:t xml:space="preserve">Venue: Head office of Ho Chi Minh City Food Joint Stock Company, No. 1610 Vo Van </w:t>
      </w:r>
      <w:proofErr w:type="spellStart"/>
      <w:r w:rsidRPr="000334D9">
        <w:rPr>
          <w:rFonts w:ascii="Arial" w:hAnsi="Arial" w:cs="Arial"/>
          <w:color w:val="010000"/>
          <w:sz w:val="20"/>
        </w:rPr>
        <w:t>Kiet</w:t>
      </w:r>
      <w:proofErr w:type="spellEnd"/>
      <w:r w:rsidR="007442DF">
        <w:rPr>
          <w:rFonts w:ascii="Arial" w:hAnsi="Arial" w:cs="Arial"/>
          <w:color w:val="010000"/>
          <w:sz w:val="20"/>
        </w:rPr>
        <w:t xml:space="preserve"> Boulevard</w:t>
      </w:r>
      <w:bookmarkStart w:id="0" w:name="_GoBack"/>
      <w:bookmarkEnd w:id="0"/>
      <w:r w:rsidRPr="000334D9">
        <w:rPr>
          <w:rFonts w:ascii="Arial" w:hAnsi="Arial" w:cs="Arial"/>
          <w:color w:val="010000"/>
          <w:sz w:val="20"/>
        </w:rPr>
        <w:t>, Ward 7, District 6, Ho Chi Minh City.</w:t>
      </w:r>
    </w:p>
    <w:p w14:paraId="0000001C" w14:textId="1EB631F3" w:rsidR="00A731F1" w:rsidRPr="000334D9" w:rsidRDefault="000334D9" w:rsidP="007442D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34D9">
        <w:rPr>
          <w:rFonts w:ascii="Arial" w:hAnsi="Arial" w:cs="Arial"/>
          <w:color w:val="010000"/>
          <w:sz w:val="20"/>
        </w:rPr>
        <w:t xml:space="preserve">‎‎Article 2. </w:t>
      </w:r>
      <w:r w:rsidR="007442DF">
        <w:rPr>
          <w:rFonts w:ascii="Arial" w:hAnsi="Arial" w:cs="Arial"/>
          <w:color w:val="010000"/>
          <w:sz w:val="20"/>
        </w:rPr>
        <w:t>Assign the Organizer</w:t>
      </w:r>
      <w:r w:rsidRPr="000334D9">
        <w:rPr>
          <w:rFonts w:ascii="Arial" w:hAnsi="Arial" w:cs="Arial"/>
          <w:color w:val="010000"/>
          <w:sz w:val="20"/>
        </w:rPr>
        <w:t xml:space="preserve"> Committee of the Meeting to fully implement the order and procedures for convening the </w:t>
      </w:r>
      <w:r w:rsidR="007442DF">
        <w:rPr>
          <w:rFonts w:ascii="Arial" w:hAnsi="Arial" w:cs="Arial"/>
          <w:color w:val="010000"/>
          <w:sz w:val="20"/>
        </w:rPr>
        <w:t>General Meeting</w:t>
      </w:r>
      <w:r w:rsidRPr="000334D9">
        <w:rPr>
          <w:rFonts w:ascii="Arial" w:hAnsi="Arial" w:cs="Arial"/>
          <w:color w:val="010000"/>
          <w:sz w:val="20"/>
        </w:rPr>
        <w:t xml:space="preserve"> and tasks according to the plan to </w:t>
      </w:r>
      <w:r w:rsidR="007442DF">
        <w:rPr>
          <w:rFonts w:ascii="Arial" w:hAnsi="Arial" w:cs="Arial"/>
          <w:color w:val="010000"/>
          <w:sz w:val="20"/>
        </w:rPr>
        <w:t>convene</w:t>
      </w:r>
      <w:r w:rsidRPr="000334D9">
        <w:rPr>
          <w:rFonts w:ascii="Arial" w:hAnsi="Arial" w:cs="Arial"/>
          <w:color w:val="010000"/>
          <w:sz w:val="20"/>
        </w:rPr>
        <w:t xml:space="preserve"> the Annual </w:t>
      </w:r>
      <w:r w:rsidR="007442DF">
        <w:rPr>
          <w:rFonts w:ascii="Arial" w:hAnsi="Arial" w:cs="Arial"/>
          <w:color w:val="010000"/>
          <w:sz w:val="20"/>
        </w:rPr>
        <w:t>General Meeting</w:t>
      </w:r>
      <w:r w:rsidRPr="000334D9">
        <w:rPr>
          <w:rFonts w:ascii="Arial" w:hAnsi="Arial" w:cs="Arial"/>
          <w:color w:val="010000"/>
          <w:sz w:val="20"/>
        </w:rPr>
        <w:t xml:space="preserve"> 2024 of Ho Chi Minh City Food Joint Stock Company.</w:t>
      </w:r>
    </w:p>
    <w:p w14:paraId="0000001D" w14:textId="1896B760" w:rsidR="00A731F1" w:rsidRPr="000334D9" w:rsidRDefault="000334D9" w:rsidP="007442D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34D9">
        <w:rPr>
          <w:rFonts w:ascii="Arial" w:hAnsi="Arial" w:cs="Arial"/>
          <w:color w:val="010000"/>
          <w:sz w:val="20"/>
        </w:rPr>
        <w:t>‎‎Article 3. This</w:t>
      </w:r>
      <w:r w:rsidR="007442DF">
        <w:rPr>
          <w:rFonts w:ascii="Arial" w:hAnsi="Arial" w:cs="Arial"/>
          <w:color w:val="010000"/>
          <w:sz w:val="20"/>
        </w:rPr>
        <w:t xml:space="preserve"> Board</w:t>
      </w:r>
      <w:r w:rsidRPr="000334D9">
        <w:rPr>
          <w:rFonts w:ascii="Arial" w:hAnsi="Arial" w:cs="Arial"/>
          <w:color w:val="010000"/>
          <w:sz w:val="20"/>
        </w:rPr>
        <w:t xml:space="preserve"> Resolution takes effect from the date of its signing.</w:t>
      </w:r>
    </w:p>
    <w:p w14:paraId="0000001E" w14:textId="123BCCB0" w:rsidR="00A731F1" w:rsidRPr="000334D9" w:rsidRDefault="007442DF" w:rsidP="007442D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</w:rPr>
      </w:pPr>
      <w:bookmarkStart w:id="1" w:name="_heading=h.gjdgxs"/>
      <w:bookmarkEnd w:id="1"/>
      <w:r>
        <w:rPr>
          <w:rFonts w:ascii="Arial" w:hAnsi="Arial" w:cs="Arial"/>
          <w:color w:val="010000"/>
          <w:sz w:val="20"/>
        </w:rPr>
        <w:t>The Head of the Organizer</w:t>
      </w:r>
      <w:r w:rsidR="000334D9" w:rsidRPr="000334D9">
        <w:rPr>
          <w:rFonts w:ascii="Arial" w:hAnsi="Arial" w:cs="Arial"/>
          <w:color w:val="010000"/>
          <w:sz w:val="20"/>
        </w:rPr>
        <w:t xml:space="preserve"> Committee of the Meeting, mem</w:t>
      </w:r>
      <w:r>
        <w:rPr>
          <w:rFonts w:ascii="Arial" w:hAnsi="Arial" w:cs="Arial"/>
          <w:color w:val="010000"/>
          <w:sz w:val="20"/>
        </w:rPr>
        <w:t>bers of the Board of Directors and Executive Board, Chief Accountant,</w:t>
      </w:r>
      <w:r w:rsidR="000334D9" w:rsidRPr="000334D9">
        <w:rPr>
          <w:rFonts w:ascii="Arial" w:hAnsi="Arial" w:cs="Arial"/>
          <w:color w:val="010000"/>
          <w:sz w:val="20"/>
        </w:rPr>
        <w:t xml:space="preserve"> Heads of professional </w:t>
      </w:r>
      <w:r>
        <w:rPr>
          <w:rFonts w:ascii="Arial" w:hAnsi="Arial" w:cs="Arial"/>
          <w:color w:val="010000"/>
          <w:sz w:val="20"/>
        </w:rPr>
        <w:t>departments,</w:t>
      </w:r>
      <w:r w:rsidR="000334D9" w:rsidRPr="000334D9">
        <w:rPr>
          <w:rFonts w:ascii="Arial" w:hAnsi="Arial" w:cs="Arial"/>
          <w:color w:val="010000"/>
          <w:sz w:val="20"/>
        </w:rPr>
        <w:t xml:space="preserve"> Managers of branches under the Company and related organizations and individuals are responsible for implementing this Resolution.</w:t>
      </w:r>
    </w:p>
    <w:sectPr w:rsidR="00A731F1" w:rsidRPr="000334D9" w:rsidSect="00407C7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1173F"/>
    <w:multiLevelType w:val="multilevel"/>
    <w:tmpl w:val="052E38D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D671BF4"/>
    <w:multiLevelType w:val="multilevel"/>
    <w:tmpl w:val="4190C630"/>
    <w:lvl w:ilvl="0">
      <w:start w:val="1"/>
      <w:numFmt w:val="decimal"/>
      <w:lvlText w:val="1.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F1"/>
    <w:rsid w:val="000334D9"/>
    <w:rsid w:val="00407C73"/>
    <w:rsid w:val="007442DF"/>
    <w:rsid w:val="00A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F2F9E"/>
  <w15:docId w15:val="{49F1E7F4-2AC7-4B31-A768-AEE08B82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52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WANexC+K6RKuHC7HX+H1YtoNqw==">CgMxLjAyCGguZ2pkZ3hzOAByITFjWV9jNTdxS3FZdmFOX0ZaSHFsMWR4dVcwNElhM0VHdw==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2024-03-11T09:35:00Z</dcterms:created>
  <dcterms:modified xsi:type="dcterms:W3CDTF">2024-03-11T09:35:00Z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aaa3099948159990e5b7c9cb86c5d6a4162592169a755180ee1bf093e81cc180</vt:lpwstr>
  </property>
</Properties>
</file>