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E1399" w14:textId="05AA1766"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b/>
          <w:color w:val="010000"/>
          <w:sz w:val="20"/>
          <w:szCs w:val="20"/>
        </w:rPr>
      </w:pPr>
      <w:r w:rsidRPr="00793F5E">
        <w:rPr>
          <w:rFonts w:ascii="Arial" w:hAnsi="Arial" w:cs="Arial"/>
          <w:b/>
          <w:color w:val="010000"/>
          <w:sz w:val="20"/>
        </w:rPr>
        <w:t>KHS: Board Resolution</w:t>
      </w:r>
    </w:p>
    <w:p w14:paraId="77F2B8AF"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On March 5, 2024, Kien Hung Joint Stock Company announced Resolution No. 01/24/NQ-HDQT/KHS as follows:</w:t>
      </w:r>
    </w:p>
    <w:p w14:paraId="35A40531"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Article 1: Approve the production and business results in 2023 as follows:</w:t>
      </w:r>
    </w:p>
    <w:p w14:paraId="7067E6C4" w14:textId="77777777" w:rsidR="0024429E" w:rsidRPr="00793F5E" w:rsidRDefault="00A25ED8" w:rsidP="00A25ED8">
      <w:pPr>
        <w:pBdr>
          <w:top w:val="nil"/>
          <w:left w:val="nil"/>
          <w:bottom w:val="nil"/>
          <w:right w:val="nil"/>
          <w:between w:val="nil"/>
        </w:pBdr>
        <w:tabs>
          <w:tab w:val="left" w:pos="270"/>
        </w:tabs>
        <w:spacing w:after="120" w:line="360" w:lineRule="auto"/>
        <w:jc w:val="right"/>
        <w:rPr>
          <w:rFonts w:ascii="Arial" w:eastAsia="Arial" w:hAnsi="Arial" w:cs="Arial"/>
          <w:color w:val="010000"/>
          <w:sz w:val="20"/>
          <w:szCs w:val="20"/>
        </w:rPr>
      </w:pPr>
      <w:r w:rsidRPr="00793F5E">
        <w:rPr>
          <w:rFonts w:ascii="Arial" w:hAnsi="Arial" w:cs="Arial"/>
          <w:color w:val="010000"/>
          <w:sz w:val="20"/>
        </w:rPr>
        <w:t>Unit: Million VND</w:t>
      </w:r>
    </w:p>
    <w:tbl>
      <w:tblPr>
        <w:tblStyle w:val="a"/>
        <w:tblW w:w="5000" w:type="pct"/>
        <w:tblLook w:val="0000" w:firstRow="0" w:lastRow="0" w:firstColumn="0" w:lastColumn="0" w:noHBand="0" w:noVBand="0"/>
      </w:tblPr>
      <w:tblGrid>
        <w:gridCol w:w="2334"/>
        <w:gridCol w:w="958"/>
        <w:gridCol w:w="1208"/>
        <w:gridCol w:w="1093"/>
        <w:gridCol w:w="1100"/>
        <w:gridCol w:w="1096"/>
        <w:gridCol w:w="1228"/>
      </w:tblGrid>
      <w:tr w:rsidR="0024429E" w:rsidRPr="00793F5E" w14:paraId="7FA2511A" w14:textId="77777777" w:rsidTr="00A25ED8">
        <w:tc>
          <w:tcPr>
            <w:tcW w:w="1294" w:type="pct"/>
            <w:vMerge w:val="restart"/>
            <w:tcBorders>
              <w:top w:val="single" w:sz="4" w:space="0" w:color="000000"/>
              <w:left w:val="single" w:sz="4" w:space="0" w:color="000000"/>
            </w:tcBorders>
            <w:shd w:val="clear" w:color="auto" w:fill="auto"/>
            <w:tcMar>
              <w:top w:w="0" w:type="dxa"/>
              <w:bottom w:w="0" w:type="dxa"/>
            </w:tcMar>
            <w:vAlign w:val="center"/>
          </w:tcPr>
          <w:p w14:paraId="5D0CCF5C"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Targets</w:t>
            </w:r>
          </w:p>
        </w:tc>
        <w:tc>
          <w:tcPr>
            <w:tcW w:w="1807" w:type="pct"/>
            <w:gridSpan w:val="3"/>
            <w:tcBorders>
              <w:top w:val="single" w:sz="4" w:space="0" w:color="000000"/>
              <w:left w:val="single" w:sz="4" w:space="0" w:color="000000"/>
            </w:tcBorders>
            <w:shd w:val="clear" w:color="auto" w:fill="auto"/>
            <w:tcMar>
              <w:top w:w="0" w:type="dxa"/>
              <w:bottom w:w="0" w:type="dxa"/>
            </w:tcMar>
            <w:vAlign w:val="center"/>
          </w:tcPr>
          <w:p w14:paraId="4F7BD476"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Consolidated figures</w:t>
            </w:r>
          </w:p>
        </w:tc>
        <w:tc>
          <w:tcPr>
            <w:tcW w:w="1899" w:type="pct"/>
            <w:gridSpan w:val="3"/>
            <w:tcBorders>
              <w:top w:val="single" w:sz="4" w:space="0" w:color="000000"/>
              <w:left w:val="single" w:sz="4" w:space="0" w:color="000000"/>
              <w:right w:val="single" w:sz="4" w:space="0" w:color="000000"/>
            </w:tcBorders>
            <w:shd w:val="clear" w:color="auto" w:fill="auto"/>
            <w:tcMar>
              <w:top w:w="0" w:type="dxa"/>
              <w:bottom w:w="0" w:type="dxa"/>
            </w:tcMar>
            <w:vAlign w:val="center"/>
          </w:tcPr>
          <w:p w14:paraId="5C929D1D"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Holding Company</w:t>
            </w:r>
          </w:p>
        </w:tc>
      </w:tr>
      <w:tr w:rsidR="0024429E" w:rsidRPr="00793F5E" w14:paraId="72C76D2B" w14:textId="77777777" w:rsidTr="00A25ED8">
        <w:tc>
          <w:tcPr>
            <w:tcW w:w="1294" w:type="pct"/>
            <w:vMerge/>
            <w:tcBorders>
              <w:top w:val="single" w:sz="4" w:space="0" w:color="000000"/>
              <w:left w:val="single" w:sz="4" w:space="0" w:color="000000"/>
            </w:tcBorders>
            <w:shd w:val="clear" w:color="auto" w:fill="auto"/>
            <w:tcMar>
              <w:top w:w="0" w:type="dxa"/>
              <w:bottom w:w="0" w:type="dxa"/>
            </w:tcMar>
            <w:vAlign w:val="center"/>
          </w:tcPr>
          <w:p w14:paraId="110E3E0C" w14:textId="77777777" w:rsidR="0024429E" w:rsidRPr="00793F5E" w:rsidRDefault="0024429E" w:rsidP="00A25ED8">
            <w:pPr>
              <w:pBdr>
                <w:top w:val="nil"/>
                <w:left w:val="nil"/>
                <w:bottom w:val="nil"/>
                <w:right w:val="nil"/>
                <w:between w:val="nil"/>
              </w:pBdr>
              <w:spacing w:after="120" w:line="360" w:lineRule="auto"/>
              <w:rPr>
                <w:rFonts w:ascii="Arial" w:eastAsia="Arial" w:hAnsi="Arial" w:cs="Arial"/>
                <w:color w:val="010000"/>
                <w:sz w:val="20"/>
                <w:szCs w:val="20"/>
              </w:rPr>
            </w:pPr>
          </w:p>
        </w:tc>
        <w:tc>
          <w:tcPr>
            <w:tcW w:w="531" w:type="pct"/>
            <w:tcBorders>
              <w:top w:val="single" w:sz="4" w:space="0" w:color="000000"/>
              <w:left w:val="single" w:sz="4" w:space="0" w:color="000000"/>
            </w:tcBorders>
            <w:shd w:val="clear" w:color="auto" w:fill="auto"/>
            <w:tcMar>
              <w:top w:w="0" w:type="dxa"/>
              <w:bottom w:w="0" w:type="dxa"/>
            </w:tcMar>
            <w:vAlign w:val="center"/>
          </w:tcPr>
          <w:p w14:paraId="6A6EFF8A"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2023 Plan</w:t>
            </w:r>
          </w:p>
        </w:tc>
        <w:tc>
          <w:tcPr>
            <w:tcW w:w="670" w:type="pct"/>
            <w:tcBorders>
              <w:top w:val="single" w:sz="4" w:space="0" w:color="000000"/>
              <w:left w:val="single" w:sz="4" w:space="0" w:color="000000"/>
            </w:tcBorders>
            <w:shd w:val="clear" w:color="auto" w:fill="auto"/>
            <w:tcMar>
              <w:top w:w="0" w:type="dxa"/>
              <w:bottom w:w="0" w:type="dxa"/>
            </w:tcMar>
            <w:vAlign w:val="center"/>
          </w:tcPr>
          <w:p w14:paraId="3F4E3F47"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2023 Results</w:t>
            </w:r>
          </w:p>
        </w:tc>
        <w:tc>
          <w:tcPr>
            <w:tcW w:w="606" w:type="pct"/>
            <w:tcBorders>
              <w:top w:val="single" w:sz="4" w:space="0" w:color="000000"/>
              <w:left w:val="single" w:sz="4" w:space="0" w:color="000000"/>
            </w:tcBorders>
            <w:shd w:val="clear" w:color="auto" w:fill="auto"/>
            <w:tcMar>
              <w:top w:w="0" w:type="dxa"/>
              <w:bottom w:w="0" w:type="dxa"/>
            </w:tcMar>
            <w:vAlign w:val="center"/>
          </w:tcPr>
          <w:p w14:paraId="37DE6115"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Rate of Results compared to Plan</w:t>
            </w:r>
          </w:p>
        </w:tc>
        <w:tc>
          <w:tcPr>
            <w:tcW w:w="610" w:type="pct"/>
            <w:tcBorders>
              <w:top w:val="single" w:sz="4" w:space="0" w:color="000000"/>
              <w:left w:val="single" w:sz="4" w:space="0" w:color="000000"/>
            </w:tcBorders>
            <w:shd w:val="clear" w:color="auto" w:fill="auto"/>
            <w:tcMar>
              <w:top w:w="0" w:type="dxa"/>
              <w:bottom w:w="0" w:type="dxa"/>
            </w:tcMar>
            <w:vAlign w:val="center"/>
          </w:tcPr>
          <w:p w14:paraId="693F37BF"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2023 Plan of the Holding Company</w:t>
            </w:r>
          </w:p>
        </w:tc>
        <w:tc>
          <w:tcPr>
            <w:tcW w:w="608" w:type="pct"/>
            <w:tcBorders>
              <w:top w:val="single" w:sz="4" w:space="0" w:color="000000"/>
              <w:left w:val="single" w:sz="4" w:space="0" w:color="000000"/>
            </w:tcBorders>
            <w:shd w:val="clear" w:color="auto" w:fill="auto"/>
            <w:tcMar>
              <w:top w:w="0" w:type="dxa"/>
              <w:bottom w:w="0" w:type="dxa"/>
            </w:tcMar>
            <w:vAlign w:val="center"/>
          </w:tcPr>
          <w:p w14:paraId="394A816A"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2023 Results</w:t>
            </w:r>
          </w:p>
        </w:tc>
        <w:tc>
          <w:tcPr>
            <w:tcW w:w="68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7A538FFA"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Rate of Results compared to Plan (%)</w:t>
            </w:r>
          </w:p>
        </w:tc>
      </w:tr>
      <w:tr w:rsidR="0024429E" w:rsidRPr="00793F5E" w14:paraId="6719091B" w14:textId="77777777" w:rsidTr="00A25ED8">
        <w:tc>
          <w:tcPr>
            <w:tcW w:w="1294" w:type="pct"/>
            <w:tcBorders>
              <w:top w:val="single" w:sz="4" w:space="0" w:color="000000"/>
              <w:left w:val="single" w:sz="4" w:space="0" w:color="000000"/>
            </w:tcBorders>
            <w:shd w:val="clear" w:color="auto" w:fill="auto"/>
            <w:tcMar>
              <w:top w:w="0" w:type="dxa"/>
              <w:bottom w:w="0" w:type="dxa"/>
            </w:tcMar>
            <w:vAlign w:val="center"/>
          </w:tcPr>
          <w:p w14:paraId="67B3F47E"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Net revenue</w:t>
            </w:r>
          </w:p>
        </w:tc>
        <w:tc>
          <w:tcPr>
            <w:tcW w:w="531" w:type="pct"/>
            <w:tcBorders>
              <w:top w:val="single" w:sz="4" w:space="0" w:color="000000"/>
              <w:left w:val="single" w:sz="4" w:space="0" w:color="000000"/>
            </w:tcBorders>
            <w:shd w:val="clear" w:color="auto" w:fill="auto"/>
            <w:tcMar>
              <w:top w:w="0" w:type="dxa"/>
              <w:bottom w:w="0" w:type="dxa"/>
            </w:tcMar>
            <w:vAlign w:val="center"/>
          </w:tcPr>
          <w:p w14:paraId="7DB778EF"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753,039</w:t>
            </w:r>
          </w:p>
        </w:tc>
        <w:tc>
          <w:tcPr>
            <w:tcW w:w="670" w:type="pct"/>
            <w:tcBorders>
              <w:top w:val="single" w:sz="4" w:space="0" w:color="000000"/>
              <w:left w:val="single" w:sz="4" w:space="0" w:color="000000"/>
            </w:tcBorders>
            <w:shd w:val="clear" w:color="auto" w:fill="auto"/>
            <w:tcMar>
              <w:top w:w="0" w:type="dxa"/>
              <w:bottom w:w="0" w:type="dxa"/>
            </w:tcMar>
            <w:vAlign w:val="center"/>
          </w:tcPr>
          <w:p w14:paraId="02A77000"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704,324</w:t>
            </w:r>
          </w:p>
        </w:tc>
        <w:tc>
          <w:tcPr>
            <w:tcW w:w="606" w:type="pct"/>
            <w:tcBorders>
              <w:top w:val="single" w:sz="4" w:space="0" w:color="000000"/>
              <w:left w:val="single" w:sz="4" w:space="0" w:color="000000"/>
            </w:tcBorders>
            <w:shd w:val="clear" w:color="auto" w:fill="auto"/>
            <w:tcMar>
              <w:top w:w="0" w:type="dxa"/>
              <w:bottom w:w="0" w:type="dxa"/>
            </w:tcMar>
            <w:vAlign w:val="center"/>
          </w:tcPr>
          <w:p w14:paraId="6C80572F"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93.53%</w:t>
            </w:r>
          </w:p>
        </w:tc>
        <w:tc>
          <w:tcPr>
            <w:tcW w:w="610" w:type="pct"/>
            <w:tcBorders>
              <w:top w:val="single" w:sz="4" w:space="0" w:color="000000"/>
              <w:left w:val="single" w:sz="4" w:space="0" w:color="000000"/>
            </w:tcBorders>
            <w:shd w:val="clear" w:color="auto" w:fill="auto"/>
            <w:tcMar>
              <w:top w:w="0" w:type="dxa"/>
              <w:bottom w:w="0" w:type="dxa"/>
            </w:tcMar>
            <w:vAlign w:val="center"/>
          </w:tcPr>
          <w:p w14:paraId="129DA635"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753,039</w:t>
            </w:r>
          </w:p>
        </w:tc>
        <w:tc>
          <w:tcPr>
            <w:tcW w:w="608" w:type="pct"/>
            <w:tcBorders>
              <w:top w:val="single" w:sz="4" w:space="0" w:color="000000"/>
              <w:left w:val="single" w:sz="4" w:space="0" w:color="000000"/>
            </w:tcBorders>
            <w:shd w:val="clear" w:color="auto" w:fill="auto"/>
            <w:tcMar>
              <w:top w:w="0" w:type="dxa"/>
              <w:bottom w:w="0" w:type="dxa"/>
            </w:tcMar>
            <w:vAlign w:val="center"/>
          </w:tcPr>
          <w:p w14:paraId="44FDFAAC"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629,396</w:t>
            </w:r>
          </w:p>
        </w:tc>
        <w:tc>
          <w:tcPr>
            <w:tcW w:w="68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5E8673E5"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83.58%</w:t>
            </w:r>
          </w:p>
        </w:tc>
      </w:tr>
      <w:tr w:rsidR="0024429E" w:rsidRPr="00793F5E" w14:paraId="3D7E3530" w14:textId="77777777" w:rsidTr="00A25ED8">
        <w:tc>
          <w:tcPr>
            <w:tcW w:w="1294" w:type="pct"/>
            <w:tcBorders>
              <w:top w:val="single" w:sz="4" w:space="0" w:color="000000"/>
              <w:left w:val="single" w:sz="4" w:space="0" w:color="000000"/>
            </w:tcBorders>
            <w:shd w:val="clear" w:color="auto" w:fill="auto"/>
            <w:tcMar>
              <w:top w:w="0" w:type="dxa"/>
              <w:bottom w:w="0" w:type="dxa"/>
            </w:tcMar>
            <w:vAlign w:val="center"/>
          </w:tcPr>
          <w:p w14:paraId="467F46BF"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Gross profit</w:t>
            </w:r>
          </w:p>
        </w:tc>
        <w:tc>
          <w:tcPr>
            <w:tcW w:w="531" w:type="pct"/>
            <w:tcBorders>
              <w:top w:val="single" w:sz="4" w:space="0" w:color="000000"/>
              <w:left w:val="single" w:sz="4" w:space="0" w:color="000000"/>
            </w:tcBorders>
            <w:shd w:val="clear" w:color="auto" w:fill="auto"/>
            <w:tcMar>
              <w:top w:w="0" w:type="dxa"/>
              <w:bottom w:w="0" w:type="dxa"/>
            </w:tcMar>
            <w:vAlign w:val="center"/>
          </w:tcPr>
          <w:p w14:paraId="1BC9E37B"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87,750</w:t>
            </w:r>
          </w:p>
        </w:tc>
        <w:tc>
          <w:tcPr>
            <w:tcW w:w="670" w:type="pct"/>
            <w:tcBorders>
              <w:top w:val="single" w:sz="4" w:space="0" w:color="000000"/>
              <w:left w:val="single" w:sz="4" w:space="0" w:color="000000"/>
            </w:tcBorders>
            <w:shd w:val="clear" w:color="auto" w:fill="auto"/>
            <w:tcMar>
              <w:top w:w="0" w:type="dxa"/>
              <w:bottom w:w="0" w:type="dxa"/>
            </w:tcMar>
            <w:vAlign w:val="center"/>
          </w:tcPr>
          <w:p w14:paraId="2B28B436"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42,309</w:t>
            </w:r>
          </w:p>
        </w:tc>
        <w:tc>
          <w:tcPr>
            <w:tcW w:w="606" w:type="pct"/>
            <w:tcBorders>
              <w:top w:val="single" w:sz="4" w:space="0" w:color="000000"/>
              <w:left w:val="single" w:sz="4" w:space="0" w:color="000000"/>
            </w:tcBorders>
            <w:shd w:val="clear" w:color="auto" w:fill="auto"/>
            <w:tcMar>
              <w:top w:w="0" w:type="dxa"/>
              <w:bottom w:w="0" w:type="dxa"/>
            </w:tcMar>
            <w:vAlign w:val="center"/>
          </w:tcPr>
          <w:p w14:paraId="53963CE1"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48.22%</w:t>
            </w:r>
          </w:p>
        </w:tc>
        <w:tc>
          <w:tcPr>
            <w:tcW w:w="610" w:type="pct"/>
            <w:tcBorders>
              <w:top w:val="single" w:sz="4" w:space="0" w:color="000000"/>
              <w:left w:val="single" w:sz="4" w:space="0" w:color="000000"/>
            </w:tcBorders>
            <w:shd w:val="clear" w:color="auto" w:fill="auto"/>
            <w:tcMar>
              <w:top w:w="0" w:type="dxa"/>
              <w:bottom w:w="0" w:type="dxa"/>
            </w:tcMar>
            <w:vAlign w:val="center"/>
          </w:tcPr>
          <w:p w14:paraId="45AA6598"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87,750</w:t>
            </w:r>
          </w:p>
        </w:tc>
        <w:tc>
          <w:tcPr>
            <w:tcW w:w="608" w:type="pct"/>
            <w:tcBorders>
              <w:top w:val="single" w:sz="4" w:space="0" w:color="000000"/>
              <w:left w:val="single" w:sz="4" w:space="0" w:color="000000"/>
            </w:tcBorders>
            <w:shd w:val="clear" w:color="auto" w:fill="auto"/>
            <w:tcMar>
              <w:top w:w="0" w:type="dxa"/>
              <w:bottom w:w="0" w:type="dxa"/>
            </w:tcMar>
            <w:vAlign w:val="center"/>
          </w:tcPr>
          <w:p w14:paraId="35085A9A"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51,084</w:t>
            </w:r>
          </w:p>
        </w:tc>
        <w:tc>
          <w:tcPr>
            <w:tcW w:w="68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1C888C61"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58.22%</w:t>
            </w:r>
          </w:p>
        </w:tc>
      </w:tr>
      <w:tr w:rsidR="0024429E" w:rsidRPr="00793F5E" w14:paraId="6B700EDF" w14:textId="77777777" w:rsidTr="00A25ED8">
        <w:tc>
          <w:tcPr>
            <w:tcW w:w="1294" w:type="pct"/>
            <w:tcBorders>
              <w:top w:val="single" w:sz="4" w:space="0" w:color="000000"/>
              <w:left w:val="single" w:sz="4" w:space="0" w:color="000000"/>
            </w:tcBorders>
            <w:shd w:val="clear" w:color="auto" w:fill="auto"/>
            <w:tcMar>
              <w:top w:w="0" w:type="dxa"/>
              <w:bottom w:w="0" w:type="dxa"/>
            </w:tcMar>
            <w:vAlign w:val="center"/>
          </w:tcPr>
          <w:p w14:paraId="2DCB4503"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Total profit before tax</w:t>
            </w:r>
          </w:p>
        </w:tc>
        <w:tc>
          <w:tcPr>
            <w:tcW w:w="531" w:type="pct"/>
            <w:tcBorders>
              <w:top w:val="single" w:sz="4" w:space="0" w:color="000000"/>
              <w:left w:val="single" w:sz="4" w:space="0" w:color="000000"/>
            </w:tcBorders>
            <w:shd w:val="clear" w:color="auto" w:fill="auto"/>
            <w:tcMar>
              <w:top w:w="0" w:type="dxa"/>
              <w:bottom w:w="0" w:type="dxa"/>
            </w:tcMar>
            <w:vAlign w:val="center"/>
          </w:tcPr>
          <w:p w14:paraId="6A233E02"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26,518</w:t>
            </w:r>
          </w:p>
        </w:tc>
        <w:tc>
          <w:tcPr>
            <w:tcW w:w="670" w:type="pct"/>
            <w:tcBorders>
              <w:top w:val="single" w:sz="4" w:space="0" w:color="000000"/>
              <w:left w:val="single" w:sz="4" w:space="0" w:color="000000"/>
            </w:tcBorders>
            <w:shd w:val="clear" w:color="auto" w:fill="auto"/>
            <w:tcMar>
              <w:top w:w="0" w:type="dxa"/>
              <w:bottom w:w="0" w:type="dxa"/>
            </w:tcMar>
            <w:vAlign w:val="center"/>
          </w:tcPr>
          <w:p w14:paraId="650EBC39"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(10,212)</w:t>
            </w:r>
          </w:p>
        </w:tc>
        <w:tc>
          <w:tcPr>
            <w:tcW w:w="606" w:type="pct"/>
            <w:tcBorders>
              <w:top w:val="single" w:sz="4" w:space="0" w:color="000000"/>
              <w:left w:val="single" w:sz="4" w:space="0" w:color="000000"/>
            </w:tcBorders>
            <w:shd w:val="clear" w:color="auto" w:fill="auto"/>
            <w:tcMar>
              <w:top w:w="0" w:type="dxa"/>
              <w:bottom w:w="0" w:type="dxa"/>
            </w:tcMar>
            <w:vAlign w:val="center"/>
          </w:tcPr>
          <w:p w14:paraId="0157CD53"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-38.51%</w:t>
            </w:r>
          </w:p>
        </w:tc>
        <w:tc>
          <w:tcPr>
            <w:tcW w:w="610" w:type="pct"/>
            <w:tcBorders>
              <w:top w:val="single" w:sz="4" w:space="0" w:color="000000"/>
              <w:left w:val="single" w:sz="4" w:space="0" w:color="000000"/>
            </w:tcBorders>
            <w:shd w:val="clear" w:color="auto" w:fill="auto"/>
            <w:tcMar>
              <w:top w:w="0" w:type="dxa"/>
              <w:bottom w:w="0" w:type="dxa"/>
            </w:tcMar>
            <w:vAlign w:val="center"/>
          </w:tcPr>
          <w:p w14:paraId="206C8ADF"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26,518</w:t>
            </w:r>
          </w:p>
        </w:tc>
        <w:tc>
          <w:tcPr>
            <w:tcW w:w="608" w:type="pct"/>
            <w:tcBorders>
              <w:top w:val="single" w:sz="4" w:space="0" w:color="000000"/>
              <w:left w:val="single" w:sz="4" w:space="0" w:color="000000"/>
            </w:tcBorders>
            <w:shd w:val="clear" w:color="auto" w:fill="auto"/>
            <w:tcMar>
              <w:top w:w="0" w:type="dxa"/>
              <w:bottom w:w="0" w:type="dxa"/>
            </w:tcMar>
            <w:vAlign w:val="center"/>
          </w:tcPr>
          <w:p w14:paraId="7F185CCF"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(15,531)</w:t>
            </w:r>
          </w:p>
        </w:tc>
        <w:tc>
          <w:tcPr>
            <w:tcW w:w="68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64AD67B2"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-58.57%</w:t>
            </w:r>
          </w:p>
        </w:tc>
      </w:tr>
      <w:tr w:rsidR="0024429E" w:rsidRPr="00793F5E" w14:paraId="4C78DF9C" w14:textId="77777777" w:rsidTr="00A25ED8">
        <w:tc>
          <w:tcPr>
            <w:tcW w:w="1294" w:type="pct"/>
            <w:tcBorders>
              <w:top w:val="single" w:sz="4" w:space="0" w:color="000000"/>
              <w:left w:val="single" w:sz="4" w:space="0" w:color="000000"/>
            </w:tcBorders>
            <w:shd w:val="clear" w:color="auto" w:fill="auto"/>
            <w:tcMar>
              <w:top w:w="0" w:type="dxa"/>
              <w:bottom w:w="0" w:type="dxa"/>
            </w:tcMar>
            <w:vAlign w:val="center"/>
          </w:tcPr>
          <w:p w14:paraId="44F780D7"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Profit after tax</w:t>
            </w:r>
          </w:p>
        </w:tc>
        <w:tc>
          <w:tcPr>
            <w:tcW w:w="531" w:type="pct"/>
            <w:tcBorders>
              <w:top w:val="single" w:sz="4" w:space="0" w:color="000000"/>
              <w:left w:val="single" w:sz="4" w:space="0" w:color="000000"/>
            </w:tcBorders>
            <w:shd w:val="clear" w:color="auto" w:fill="auto"/>
            <w:tcMar>
              <w:top w:w="0" w:type="dxa"/>
              <w:bottom w:w="0" w:type="dxa"/>
            </w:tcMar>
            <w:vAlign w:val="center"/>
          </w:tcPr>
          <w:p w14:paraId="66168D72"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25,749</w:t>
            </w:r>
          </w:p>
        </w:tc>
        <w:tc>
          <w:tcPr>
            <w:tcW w:w="670" w:type="pct"/>
            <w:tcBorders>
              <w:top w:val="single" w:sz="4" w:space="0" w:color="000000"/>
              <w:left w:val="single" w:sz="4" w:space="0" w:color="000000"/>
            </w:tcBorders>
            <w:shd w:val="clear" w:color="auto" w:fill="auto"/>
            <w:tcMar>
              <w:top w:w="0" w:type="dxa"/>
              <w:bottom w:w="0" w:type="dxa"/>
            </w:tcMar>
            <w:vAlign w:val="center"/>
          </w:tcPr>
          <w:p w14:paraId="0A3D4A59"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(10,212)</w:t>
            </w:r>
          </w:p>
        </w:tc>
        <w:tc>
          <w:tcPr>
            <w:tcW w:w="606" w:type="pct"/>
            <w:tcBorders>
              <w:top w:val="single" w:sz="4" w:space="0" w:color="000000"/>
              <w:left w:val="single" w:sz="4" w:space="0" w:color="000000"/>
            </w:tcBorders>
            <w:shd w:val="clear" w:color="auto" w:fill="auto"/>
            <w:tcMar>
              <w:top w:w="0" w:type="dxa"/>
              <w:bottom w:w="0" w:type="dxa"/>
            </w:tcMar>
            <w:vAlign w:val="center"/>
          </w:tcPr>
          <w:p w14:paraId="6C59FC71"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-39.66%</w:t>
            </w:r>
          </w:p>
        </w:tc>
        <w:tc>
          <w:tcPr>
            <w:tcW w:w="610" w:type="pct"/>
            <w:tcBorders>
              <w:top w:val="single" w:sz="4" w:space="0" w:color="000000"/>
              <w:left w:val="single" w:sz="4" w:space="0" w:color="000000"/>
            </w:tcBorders>
            <w:shd w:val="clear" w:color="auto" w:fill="auto"/>
            <w:tcMar>
              <w:top w:w="0" w:type="dxa"/>
              <w:bottom w:w="0" w:type="dxa"/>
            </w:tcMar>
            <w:vAlign w:val="center"/>
          </w:tcPr>
          <w:p w14:paraId="53365929"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25,749</w:t>
            </w:r>
          </w:p>
        </w:tc>
        <w:tc>
          <w:tcPr>
            <w:tcW w:w="608" w:type="pct"/>
            <w:tcBorders>
              <w:top w:val="single" w:sz="4" w:space="0" w:color="000000"/>
              <w:left w:val="single" w:sz="4" w:space="0" w:color="000000"/>
            </w:tcBorders>
            <w:shd w:val="clear" w:color="auto" w:fill="auto"/>
            <w:tcMar>
              <w:top w:w="0" w:type="dxa"/>
              <w:bottom w:w="0" w:type="dxa"/>
            </w:tcMar>
            <w:vAlign w:val="center"/>
          </w:tcPr>
          <w:p w14:paraId="67075920"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(15,531)</w:t>
            </w:r>
          </w:p>
        </w:tc>
        <w:tc>
          <w:tcPr>
            <w:tcW w:w="68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1FF31BA9"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-60.32%</w:t>
            </w:r>
          </w:p>
        </w:tc>
      </w:tr>
      <w:tr w:rsidR="0024429E" w:rsidRPr="00793F5E" w14:paraId="29B54DA4" w14:textId="77777777" w:rsidTr="00A25ED8">
        <w:tc>
          <w:tcPr>
            <w:tcW w:w="1294" w:type="pct"/>
            <w:tcBorders>
              <w:top w:val="single" w:sz="4" w:space="0" w:color="000000"/>
              <w:left w:val="single" w:sz="4" w:space="0" w:color="000000"/>
            </w:tcBorders>
            <w:shd w:val="clear" w:color="auto" w:fill="auto"/>
            <w:tcMar>
              <w:top w:w="0" w:type="dxa"/>
              <w:bottom w:w="0" w:type="dxa"/>
            </w:tcMar>
            <w:vAlign w:val="center"/>
          </w:tcPr>
          <w:p w14:paraId="54274CDF"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Profit after tax of shareholders of the Holding company</w:t>
            </w:r>
          </w:p>
        </w:tc>
        <w:tc>
          <w:tcPr>
            <w:tcW w:w="531" w:type="pct"/>
            <w:tcBorders>
              <w:top w:val="single" w:sz="4" w:space="0" w:color="000000"/>
              <w:left w:val="single" w:sz="4" w:space="0" w:color="000000"/>
            </w:tcBorders>
            <w:shd w:val="clear" w:color="auto" w:fill="auto"/>
            <w:tcMar>
              <w:top w:w="0" w:type="dxa"/>
              <w:bottom w:w="0" w:type="dxa"/>
            </w:tcMar>
            <w:vAlign w:val="center"/>
          </w:tcPr>
          <w:p w14:paraId="02BCE1C1"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25,749</w:t>
            </w:r>
          </w:p>
        </w:tc>
        <w:tc>
          <w:tcPr>
            <w:tcW w:w="670" w:type="pct"/>
            <w:tcBorders>
              <w:top w:val="single" w:sz="4" w:space="0" w:color="000000"/>
              <w:left w:val="single" w:sz="4" w:space="0" w:color="000000"/>
            </w:tcBorders>
            <w:shd w:val="clear" w:color="auto" w:fill="auto"/>
            <w:tcMar>
              <w:top w:w="0" w:type="dxa"/>
              <w:bottom w:w="0" w:type="dxa"/>
            </w:tcMar>
            <w:vAlign w:val="center"/>
          </w:tcPr>
          <w:p w14:paraId="232D5B51"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1,089</w:t>
            </w:r>
          </w:p>
        </w:tc>
        <w:tc>
          <w:tcPr>
            <w:tcW w:w="606" w:type="pct"/>
            <w:tcBorders>
              <w:top w:val="single" w:sz="4" w:space="0" w:color="000000"/>
              <w:left w:val="single" w:sz="4" w:space="0" w:color="000000"/>
            </w:tcBorders>
            <w:shd w:val="clear" w:color="auto" w:fill="auto"/>
            <w:tcMar>
              <w:top w:w="0" w:type="dxa"/>
              <w:bottom w:w="0" w:type="dxa"/>
            </w:tcMar>
            <w:vAlign w:val="center"/>
          </w:tcPr>
          <w:p w14:paraId="1E1500BB"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4.23%</w:t>
            </w:r>
          </w:p>
        </w:tc>
        <w:tc>
          <w:tcPr>
            <w:tcW w:w="610" w:type="pct"/>
            <w:tcBorders>
              <w:top w:val="single" w:sz="4" w:space="0" w:color="000000"/>
              <w:left w:val="single" w:sz="4" w:space="0" w:color="000000"/>
            </w:tcBorders>
            <w:shd w:val="clear" w:color="auto" w:fill="auto"/>
            <w:tcMar>
              <w:top w:w="0" w:type="dxa"/>
              <w:bottom w:w="0" w:type="dxa"/>
            </w:tcMar>
            <w:vAlign w:val="center"/>
          </w:tcPr>
          <w:p w14:paraId="26C9C94C"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25,749</w:t>
            </w:r>
          </w:p>
        </w:tc>
        <w:tc>
          <w:tcPr>
            <w:tcW w:w="608" w:type="pct"/>
            <w:tcBorders>
              <w:top w:val="single" w:sz="4" w:space="0" w:color="000000"/>
              <w:left w:val="single" w:sz="4" w:space="0" w:color="000000"/>
            </w:tcBorders>
            <w:shd w:val="clear" w:color="auto" w:fill="auto"/>
            <w:tcMar>
              <w:top w:w="0" w:type="dxa"/>
              <w:bottom w:w="0" w:type="dxa"/>
            </w:tcMar>
            <w:vAlign w:val="center"/>
          </w:tcPr>
          <w:p w14:paraId="263C2767"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(15,531)</w:t>
            </w:r>
          </w:p>
        </w:tc>
        <w:tc>
          <w:tcPr>
            <w:tcW w:w="68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6CC05622"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-60.32%</w:t>
            </w:r>
          </w:p>
        </w:tc>
      </w:tr>
      <w:tr w:rsidR="0024429E" w:rsidRPr="00793F5E" w14:paraId="0E939BD5" w14:textId="77777777" w:rsidTr="00A25ED8">
        <w:tc>
          <w:tcPr>
            <w:tcW w:w="129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B7046A6"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Rate of profit after tax/net revenue</w:t>
            </w:r>
          </w:p>
        </w:tc>
        <w:tc>
          <w:tcPr>
            <w:tcW w:w="53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D531F61"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3.52%</w:t>
            </w:r>
          </w:p>
        </w:tc>
        <w:tc>
          <w:tcPr>
            <w:tcW w:w="670"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8E7943F" w14:textId="77777777" w:rsidR="0024429E" w:rsidRPr="00793F5E" w:rsidRDefault="0024429E" w:rsidP="00A25ED8">
            <w:pPr>
              <w:tabs>
                <w:tab w:val="left" w:pos="270"/>
              </w:tabs>
              <w:spacing w:after="120" w:line="360" w:lineRule="auto"/>
              <w:rPr>
                <w:rFonts w:ascii="Arial" w:eastAsia="Arial" w:hAnsi="Arial" w:cs="Arial"/>
                <w:color w:val="010000"/>
                <w:sz w:val="20"/>
                <w:szCs w:val="20"/>
              </w:rPr>
            </w:pPr>
          </w:p>
        </w:tc>
        <w:tc>
          <w:tcPr>
            <w:tcW w:w="606"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72EFDB7" w14:textId="77777777" w:rsidR="0024429E" w:rsidRPr="00793F5E" w:rsidRDefault="0024429E" w:rsidP="00A25ED8">
            <w:pPr>
              <w:tabs>
                <w:tab w:val="left" w:pos="270"/>
              </w:tabs>
              <w:spacing w:after="120" w:line="360" w:lineRule="auto"/>
              <w:rPr>
                <w:rFonts w:ascii="Arial" w:eastAsia="Arial" w:hAnsi="Arial" w:cs="Arial"/>
                <w:color w:val="010000"/>
                <w:sz w:val="20"/>
                <w:szCs w:val="20"/>
              </w:rPr>
            </w:pPr>
          </w:p>
        </w:tc>
        <w:tc>
          <w:tcPr>
            <w:tcW w:w="610"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0C84499"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3.52%</w:t>
            </w:r>
          </w:p>
        </w:tc>
        <w:tc>
          <w:tcPr>
            <w:tcW w:w="60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DFC89CE" w14:textId="77777777" w:rsidR="0024429E" w:rsidRPr="00793F5E" w:rsidRDefault="0024429E" w:rsidP="00A25ED8">
            <w:pPr>
              <w:tabs>
                <w:tab w:val="left" w:pos="270"/>
              </w:tabs>
              <w:spacing w:after="120" w:line="360" w:lineRule="auto"/>
              <w:rPr>
                <w:rFonts w:ascii="Arial" w:eastAsia="Arial" w:hAnsi="Arial" w:cs="Arial"/>
                <w:color w:val="010000"/>
                <w:sz w:val="20"/>
                <w:szCs w:val="20"/>
              </w:rPr>
            </w:pPr>
          </w:p>
        </w:tc>
        <w:tc>
          <w:tcPr>
            <w:tcW w:w="681"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5C3F9713" w14:textId="77777777" w:rsidR="0024429E" w:rsidRPr="00793F5E" w:rsidRDefault="0024429E" w:rsidP="00A25ED8">
            <w:pPr>
              <w:tabs>
                <w:tab w:val="left" w:pos="270"/>
              </w:tabs>
              <w:spacing w:after="120" w:line="360" w:lineRule="auto"/>
              <w:rPr>
                <w:rFonts w:ascii="Arial" w:eastAsia="Arial" w:hAnsi="Arial" w:cs="Arial"/>
                <w:color w:val="010000"/>
                <w:sz w:val="20"/>
                <w:szCs w:val="20"/>
              </w:rPr>
            </w:pPr>
          </w:p>
        </w:tc>
      </w:tr>
    </w:tbl>
    <w:p w14:paraId="4FCDEB62" w14:textId="77777777" w:rsidR="0024429E" w:rsidRPr="00793F5E" w:rsidRDefault="00A25ED8" w:rsidP="00A25ED8">
      <w:pPr>
        <w:keepNext/>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Article 2: Approve the business plan for 2024 to submit to the General Meeting of Shareholders:</w:t>
      </w:r>
    </w:p>
    <w:p w14:paraId="29CBE080"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Unit: Million VND</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45"/>
        <w:gridCol w:w="2521"/>
        <w:gridCol w:w="2451"/>
      </w:tblGrid>
      <w:tr w:rsidR="0024429E" w:rsidRPr="00793F5E" w14:paraId="6A595CD6" w14:textId="77777777" w:rsidTr="00A25ED8">
        <w:tc>
          <w:tcPr>
            <w:tcW w:w="2243" w:type="pct"/>
            <w:shd w:val="clear" w:color="auto" w:fill="auto"/>
            <w:tcMar>
              <w:top w:w="0" w:type="dxa"/>
              <w:bottom w:w="0" w:type="dxa"/>
            </w:tcMar>
            <w:vAlign w:val="center"/>
          </w:tcPr>
          <w:p w14:paraId="0D70566F"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Targets</w:t>
            </w:r>
          </w:p>
        </w:tc>
        <w:tc>
          <w:tcPr>
            <w:tcW w:w="1398" w:type="pct"/>
            <w:shd w:val="clear" w:color="auto" w:fill="auto"/>
            <w:tcMar>
              <w:top w:w="0" w:type="dxa"/>
              <w:bottom w:w="0" w:type="dxa"/>
            </w:tcMar>
            <w:vAlign w:val="center"/>
          </w:tcPr>
          <w:p w14:paraId="29B0A230"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Consolidated</w:t>
            </w:r>
          </w:p>
        </w:tc>
        <w:tc>
          <w:tcPr>
            <w:tcW w:w="1359" w:type="pct"/>
            <w:shd w:val="clear" w:color="auto" w:fill="auto"/>
            <w:tcMar>
              <w:top w:w="0" w:type="dxa"/>
              <w:bottom w:w="0" w:type="dxa"/>
            </w:tcMar>
            <w:vAlign w:val="center"/>
          </w:tcPr>
          <w:p w14:paraId="784AD850"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Holding Company</w:t>
            </w:r>
          </w:p>
        </w:tc>
      </w:tr>
      <w:tr w:rsidR="0024429E" w:rsidRPr="00793F5E" w14:paraId="2E858097" w14:textId="77777777" w:rsidTr="00A25ED8">
        <w:tc>
          <w:tcPr>
            <w:tcW w:w="2243" w:type="pct"/>
            <w:shd w:val="clear" w:color="auto" w:fill="auto"/>
            <w:tcMar>
              <w:top w:w="0" w:type="dxa"/>
              <w:bottom w:w="0" w:type="dxa"/>
            </w:tcMar>
            <w:vAlign w:val="center"/>
          </w:tcPr>
          <w:p w14:paraId="014B6D9D"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Net revenue</w:t>
            </w:r>
          </w:p>
        </w:tc>
        <w:tc>
          <w:tcPr>
            <w:tcW w:w="1398" w:type="pct"/>
            <w:shd w:val="clear" w:color="auto" w:fill="auto"/>
            <w:tcMar>
              <w:top w:w="0" w:type="dxa"/>
              <w:bottom w:w="0" w:type="dxa"/>
            </w:tcMar>
            <w:vAlign w:val="center"/>
          </w:tcPr>
          <w:p w14:paraId="45B8DAC7"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527,127</w:t>
            </w:r>
          </w:p>
        </w:tc>
        <w:tc>
          <w:tcPr>
            <w:tcW w:w="1359" w:type="pct"/>
            <w:shd w:val="clear" w:color="auto" w:fill="auto"/>
            <w:tcMar>
              <w:top w:w="0" w:type="dxa"/>
              <w:bottom w:w="0" w:type="dxa"/>
            </w:tcMar>
            <w:vAlign w:val="center"/>
          </w:tcPr>
          <w:p w14:paraId="5FADEDB7"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527,127</w:t>
            </w:r>
          </w:p>
        </w:tc>
      </w:tr>
      <w:tr w:rsidR="0024429E" w:rsidRPr="00793F5E" w14:paraId="06C6A67B" w14:textId="77777777" w:rsidTr="00A25ED8">
        <w:tc>
          <w:tcPr>
            <w:tcW w:w="2243" w:type="pct"/>
            <w:shd w:val="clear" w:color="auto" w:fill="auto"/>
            <w:tcMar>
              <w:top w:w="0" w:type="dxa"/>
              <w:bottom w:w="0" w:type="dxa"/>
            </w:tcMar>
            <w:vAlign w:val="center"/>
          </w:tcPr>
          <w:p w14:paraId="52A2E50A"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Gross profit</w:t>
            </w:r>
          </w:p>
        </w:tc>
        <w:tc>
          <w:tcPr>
            <w:tcW w:w="1398" w:type="pct"/>
            <w:shd w:val="clear" w:color="auto" w:fill="auto"/>
            <w:tcMar>
              <w:top w:w="0" w:type="dxa"/>
              <w:bottom w:w="0" w:type="dxa"/>
            </w:tcMar>
            <w:vAlign w:val="center"/>
          </w:tcPr>
          <w:p w14:paraId="4E3995B6"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61,425</w:t>
            </w:r>
          </w:p>
        </w:tc>
        <w:tc>
          <w:tcPr>
            <w:tcW w:w="1359" w:type="pct"/>
            <w:shd w:val="clear" w:color="auto" w:fill="auto"/>
            <w:tcMar>
              <w:top w:w="0" w:type="dxa"/>
              <w:bottom w:w="0" w:type="dxa"/>
            </w:tcMar>
            <w:vAlign w:val="center"/>
          </w:tcPr>
          <w:p w14:paraId="1231423C"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61,425</w:t>
            </w:r>
          </w:p>
        </w:tc>
      </w:tr>
      <w:tr w:rsidR="0024429E" w:rsidRPr="00793F5E" w14:paraId="0AF9753C" w14:textId="77777777" w:rsidTr="00A25ED8">
        <w:tc>
          <w:tcPr>
            <w:tcW w:w="2243" w:type="pct"/>
            <w:shd w:val="clear" w:color="auto" w:fill="auto"/>
            <w:tcMar>
              <w:top w:w="0" w:type="dxa"/>
              <w:bottom w:w="0" w:type="dxa"/>
            </w:tcMar>
            <w:vAlign w:val="center"/>
          </w:tcPr>
          <w:p w14:paraId="0DED7662"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Total profit before tax</w:t>
            </w:r>
          </w:p>
        </w:tc>
        <w:tc>
          <w:tcPr>
            <w:tcW w:w="1398" w:type="pct"/>
            <w:shd w:val="clear" w:color="auto" w:fill="auto"/>
            <w:tcMar>
              <w:top w:w="0" w:type="dxa"/>
              <w:bottom w:w="0" w:type="dxa"/>
            </w:tcMar>
            <w:vAlign w:val="center"/>
          </w:tcPr>
          <w:p w14:paraId="69E33BD5"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18,562</w:t>
            </w:r>
          </w:p>
        </w:tc>
        <w:tc>
          <w:tcPr>
            <w:tcW w:w="1359" w:type="pct"/>
            <w:shd w:val="clear" w:color="auto" w:fill="auto"/>
            <w:tcMar>
              <w:top w:w="0" w:type="dxa"/>
              <w:bottom w:w="0" w:type="dxa"/>
            </w:tcMar>
            <w:vAlign w:val="center"/>
          </w:tcPr>
          <w:p w14:paraId="4D7B36FD"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18,562</w:t>
            </w:r>
          </w:p>
        </w:tc>
      </w:tr>
      <w:tr w:rsidR="0024429E" w:rsidRPr="00793F5E" w14:paraId="3F9C1863" w14:textId="77777777" w:rsidTr="00A25ED8">
        <w:tc>
          <w:tcPr>
            <w:tcW w:w="2243" w:type="pct"/>
            <w:shd w:val="clear" w:color="auto" w:fill="auto"/>
            <w:tcMar>
              <w:top w:w="0" w:type="dxa"/>
              <w:bottom w:w="0" w:type="dxa"/>
            </w:tcMar>
            <w:vAlign w:val="center"/>
          </w:tcPr>
          <w:p w14:paraId="1F1332CD"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Profit after tax</w:t>
            </w:r>
          </w:p>
        </w:tc>
        <w:tc>
          <w:tcPr>
            <w:tcW w:w="1398" w:type="pct"/>
            <w:shd w:val="clear" w:color="auto" w:fill="auto"/>
            <w:tcMar>
              <w:top w:w="0" w:type="dxa"/>
              <w:bottom w:w="0" w:type="dxa"/>
            </w:tcMar>
            <w:vAlign w:val="center"/>
          </w:tcPr>
          <w:p w14:paraId="3E909832"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18,024</w:t>
            </w:r>
          </w:p>
        </w:tc>
        <w:tc>
          <w:tcPr>
            <w:tcW w:w="1359" w:type="pct"/>
            <w:shd w:val="clear" w:color="auto" w:fill="auto"/>
            <w:tcMar>
              <w:top w:w="0" w:type="dxa"/>
              <w:bottom w:w="0" w:type="dxa"/>
            </w:tcMar>
            <w:vAlign w:val="center"/>
          </w:tcPr>
          <w:p w14:paraId="4C2B9912"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18,024</w:t>
            </w:r>
          </w:p>
        </w:tc>
      </w:tr>
      <w:tr w:rsidR="0024429E" w:rsidRPr="00793F5E" w14:paraId="3974A19C" w14:textId="77777777" w:rsidTr="00A25ED8">
        <w:tc>
          <w:tcPr>
            <w:tcW w:w="2243" w:type="pct"/>
            <w:shd w:val="clear" w:color="auto" w:fill="auto"/>
            <w:tcMar>
              <w:top w:w="0" w:type="dxa"/>
              <w:bottom w:w="0" w:type="dxa"/>
            </w:tcMar>
            <w:vAlign w:val="center"/>
          </w:tcPr>
          <w:p w14:paraId="6260676D"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Profit after tax of shareholders of the Holding company</w:t>
            </w:r>
          </w:p>
        </w:tc>
        <w:tc>
          <w:tcPr>
            <w:tcW w:w="1398" w:type="pct"/>
            <w:shd w:val="clear" w:color="auto" w:fill="auto"/>
            <w:tcMar>
              <w:top w:w="0" w:type="dxa"/>
              <w:bottom w:w="0" w:type="dxa"/>
            </w:tcMar>
            <w:vAlign w:val="center"/>
          </w:tcPr>
          <w:p w14:paraId="276CBC28"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18,024</w:t>
            </w:r>
          </w:p>
        </w:tc>
        <w:tc>
          <w:tcPr>
            <w:tcW w:w="1359" w:type="pct"/>
            <w:shd w:val="clear" w:color="auto" w:fill="auto"/>
            <w:tcMar>
              <w:top w:w="0" w:type="dxa"/>
              <w:bottom w:w="0" w:type="dxa"/>
            </w:tcMar>
            <w:vAlign w:val="center"/>
          </w:tcPr>
          <w:p w14:paraId="117B122A"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18,024</w:t>
            </w:r>
          </w:p>
        </w:tc>
      </w:tr>
      <w:tr w:rsidR="0024429E" w:rsidRPr="00793F5E" w14:paraId="1992E2B1" w14:textId="77777777" w:rsidTr="00A25ED8">
        <w:tc>
          <w:tcPr>
            <w:tcW w:w="2243" w:type="pct"/>
            <w:shd w:val="clear" w:color="auto" w:fill="auto"/>
            <w:tcMar>
              <w:top w:w="0" w:type="dxa"/>
              <w:bottom w:w="0" w:type="dxa"/>
            </w:tcMar>
            <w:vAlign w:val="center"/>
          </w:tcPr>
          <w:p w14:paraId="4A68BB08"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Rate of profit after tax/net revenue</w:t>
            </w:r>
          </w:p>
        </w:tc>
        <w:tc>
          <w:tcPr>
            <w:tcW w:w="1398" w:type="pct"/>
            <w:shd w:val="clear" w:color="auto" w:fill="auto"/>
            <w:tcMar>
              <w:top w:w="0" w:type="dxa"/>
              <w:bottom w:w="0" w:type="dxa"/>
            </w:tcMar>
            <w:vAlign w:val="center"/>
          </w:tcPr>
          <w:p w14:paraId="2EDC082F"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3.42%</w:t>
            </w:r>
          </w:p>
        </w:tc>
        <w:tc>
          <w:tcPr>
            <w:tcW w:w="1359" w:type="pct"/>
            <w:shd w:val="clear" w:color="auto" w:fill="auto"/>
            <w:tcMar>
              <w:top w:w="0" w:type="dxa"/>
              <w:bottom w:w="0" w:type="dxa"/>
            </w:tcMar>
            <w:vAlign w:val="center"/>
          </w:tcPr>
          <w:p w14:paraId="4A32CA97"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3.42%</w:t>
            </w:r>
          </w:p>
        </w:tc>
      </w:tr>
    </w:tbl>
    <w:p w14:paraId="330F5FFE" w14:textId="77777777" w:rsidR="0024429E" w:rsidRPr="00793F5E" w:rsidRDefault="00A25ED8" w:rsidP="00A25ED8">
      <w:pPr>
        <w:keepNext/>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 xml:space="preserve">Article 3: Approve the profit distribution plan in 2024, the remuneration for the Board of Directors and </w:t>
      </w:r>
      <w:r w:rsidRPr="00793F5E">
        <w:rPr>
          <w:rFonts w:ascii="Arial" w:hAnsi="Arial" w:cs="Arial"/>
          <w:color w:val="010000"/>
          <w:sz w:val="20"/>
        </w:rPr>
        <w:lastRenderedPageBreak/>
        <w:t>the Supervisory Board to submit to the General Meeting of Shareholders:</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15"/>
        <w:gridCol w:w="1583"/>
        <w:gridCol w:w="3619"/>
      </w:tblGrid>
      <w:tr w:rsidR="0024429E" w:rsidRPr="00793F5E" w14:paraId="3755E64F" w14:textId="77777777" w:rsidTr="00A25ED8">
        <w:tc>
          <w:tcPr>
            <w:tcW w:w="2115" w:type="pct"/>
            <w:shd w:val="clear" w:color="auto" w:fill="auto"/>
            <w:tcMar>
              <w:top w:w="0" w:type="dxa"/>
              <w:bottom w:w="0" w:type="dxa"/>
            </w:tcMar>
            <w:vAlign w:val="center"/>
          </w:tcPr>
          <w:p w14:paraId="6FE255E2"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Profit distribution in 2024</w:t>
            </w:r>
          </w:p>
        </w:tc>
        <w:tc>
          <w:tcPr>
            <w:tcW w:w="878" w:type="pct"/>
            <w:shd w:val="clear" w:color="auto" w:fill="auto"/>
            <w:tcMar>
              <w:top w:w="0" w:type="dxa"/>
              <w:bottom w:w="0" w:type="dxa"/>
            </w:tcMar>
            <w:vAlign w:val="center"/>
          </w:tcPr>
          <w:p w14:paraId="5905AB4C"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Rate/ amount</w:t>
            </w:r>
          </w:p>
        </w:tc>
        <w:tc>
          <w:tcPr>
            <w:tcW w:w="2007" w:type="pct"/>
            <w:shd w:val="clear" w:color="auto" w:fill="auto"/>
            <w:tcMar>
              <w:top w:w="0" w:type="dxa"/>
              <w:bottom w:w="0" w:type="dxa"/>
            </w:tcMar>
            <w:vAlign w:val="center"/>
          </w:tcPr>
          <w:p w14:paraId="4989678A"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Note</w:t>
            </w:r>
          </w:p>
        </w:tc>
      </w:tr>
      <w:tr w:rsidR="0024429E" w:rsidRPr="00793F5E" w14:paraId="35B3ADA0" w14:textId="77777777" w:rsidTr="00A25ED8">
        <w:tc>
          <w:tcPr>
            <w:tcW w:w="2115" w:type="pct"/>
            <w:shd w:val="clear" w:color="auto" w:fill="auto"/>
            <w:tcMar>
              <w:top w:w="0" w:type="dxa"/>
              <w:bottom w:w="0" w:type="dxa"/>
            </w:tcMar>
            <w:vAlign w:val="center"/>
          </w:tcPr>
          <w:p w14:paraId="757141FB"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Dividends</w:t>
            </w:r>
          </w:p>
        </w:tc>
        <w:tc>
          <w:tcPr>
            <w:tcW w:w="878" w:type="pct"/>
            <w:shd w:val="clear" w:color="auto" w:fill="auto"/>
            <w:tcMar>
              <w:top w:w="0" w:type="dxa"/>
              <w:bottom w:w="0" w:type="dxa"/>
            </w:tcMar>
            <w:vAlign w:val="center"/>
          </w:tcPr>
          <w:p w14:paraId="14FD3FDC"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8%-15%</w:t>
            </w:r>
          </w:p>
        </w:tc>
        <w:tc>
          <w:tcPr>
            <w:tcW w:w="2007" w:type="pct"/>
            <w:shd w:val="clear" w:color="auto" w:fill="auto"/>
            <w:tcMar>
              <w:top w:w="0" w:type="dxa"/>
              <w:bottom w:w="0" w:type="dxa"/>
            </w:tcMar>
            <w:vAlign w:val="center"/>
          </w:tcPr>
          <w:p w14:paraId="52879032"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Payment/ Profit after tax</w:t>
            </w:r>
          </w:p>
        </w:tc>
      </w:tr>
      <w:tr w:rsidR="0024429E" w:rsidRPr="00793F5E" w14:paraId="4A57F730" w14:textId="77777777" w:rsidTr="00A25ED8">
        <w:tc>
          <w:tcPr>
            <w:tcW w:w="2115" w:type="pct"/>
            <w:shd w:val="clear" w:color="auto" w:fill="auto"/>
            <w:tcMar>
              <w:top w:w="0" w:type="dxa"/>
              <w:bottom w:w="0" w:type="dxa"/>
            </w:tcMar>
            <w:vAlign w:val="center"/>
          </w:tcPr>
          <w:p w14:paraId="49189656"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Remuneration payment for the Board of Directors and the Supervisory Board</w:t>
            </w:r>
          </w:p>
        </w:tc>
        <w:tc>
          <w:tcPr>
            <w:tcW w:w="878" w:type="pct"/>
            <w:shd w:val="clear" w:color="auto" w:fill="auto"/>
            <w:tcMar>
              <w:top w:w="0" w:type="dxa"/>
              <w:bottom w:w="0" w:type="dxa"/>
            </w:tcMar>
            <w:vAlign w:val="center"/>
          </w:tcPr>
          <w:p w14:paraId="4F4C3875"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VND 360 million.</w:t>
            </w:r>
          </w:p>
        </w:tc>
        <w:tc>
          <w:tcPr>
            <w:tcW w:w="2007" w:type="pct"/>
            <w:shd w:val="clear" w:color="auto" w:fill="auto"/>
            <w:tcMar>
              <w:top w:w="0" w:type="dxa"/>
              <w:bottom w:w="0" w:type="dxa"/>
            </w:tcMar>
            <w:vAlign w:val="center"/>
          </w:tcPr>
          <w:p w14:paraId="3A1ECAD4" w14:textId="77777777" w:rsidR="0024429E" w:rsidRPr="00793F5E" w:rsidRDefault="0024429E" w:rsidP="00A25ED8">
            <w:pPr>
              <w:tabs>
                <w:tab w:val="left" w:pos="270"/>
              </w:tabs>
              <w:spacing w:after="120" w:line="360" w:lineRule="auto"/>
              <w:rPr>
                <w:rFonts w:ascii="Arial" w:eastAsia="Arial" w:hAnsi="Arial" w:cs="Arial"/>
                <w:color w:val="010000"/>
                <w:sz w:val="20"/>
                <w:szCs w:val="20"/>
              </w:rPr>
            </w:pPr>
          </w:p>
        </w:tc>
      </w:tr>
      <w:tr w:rsidR="0024429E" w:rsidRPr="00793F5E" w14:paraId="745897E3" w14:textId="77777777" w:rsidTr="00A25ED8">
        <w:tc>
          <w:tcPr>
            <w:tcW w:w="2115" w:type="pct"/>
            <w:shd w:val="clear" w:color="auto" w:fill="auto"/>
            <w:tcMar>
              <w:top w:w="0" w:type="dxa"/>
              <w:bottom w:w="0" w:type="dxa"/>
            </w:tcMar>
            <w:vAlign w:val="center"/>
          </w:tcPr>
          <w:p w14:paraId="2BB2D3EA"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Bonus and welfare fund</w:t>
            </w:r>
          </w:p>
        </w:tc>
        <w:tc>
          <w:tcPr>
            <w:tcW w:w="878" w:type="pct"/>
            <w:shd w:val="clear" w:color="auto" w:fill="auto"/>
            <w:tcMar>
              <w:top w:w="0" w:type="dxa"/>
              <w:bottom w:w="0" w:type="dxa"/>
            </w:tcMar>
            <w:vAlign w:val="center"/>
          </w:tcPr>
          <w:p w14:paraId="06788BEE"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8%-10%</w:t>
            </w:r>
          </w:p>
        </w:tc>
        <w:tc>
          <w:tcPr>
            <w:tcW w:w="2007" w:type="pct"/>
            <w:shd w:val="clear" w:color="auto" w:fill="auto"/>
            <w:tcMar>
              <w:top w:w="0" w:type="dxa"/>
              <w:bottom w:w="0" w:type="dxa"/>
            </w:tcMar>
            <w:vAlign w:val="center"/>
          </w:tcPr>
          <w:p w14:paraId="599CEDB8"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Payment/Profit after tax</w:t>
            </w:r>
          </w:p>
        </w:tc>
      </w:tr>
      <w:tr w:rsidR="0024429E" w:rsidRPr="00793F5E" w14:paraId="68B5B420" w14:textId="77777777" w:rsidTr="00A25ED8">
        <w:tc>
          <w:tcPr>
            <w:tcW w:w="2115" w:type="pct"/>
            <w:shd w:val="clear" w:color="auto" w:fill="auto"/>
            <w:tcMar>
              <w:top w:w="0" w:type="dxa"/>
              <w:bottom w:w="0" w:type="dxa"/>
            </w:tcMar>
            <w:vAlign w:val="center"/>
          </w:tcPr>
          <w:p w14:paraId="05C7DCD3" w14:textId="5626D709"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Fund for the activities of the Executive Board of the Company</w:t>
            </w:r>
          </w:p>
        </w:tc>
        <w:tc>
          <w:tcPr>
            <w:tcW w:w="878" w:type="pct"/>
            <w:shd w:val="clear" w:color="auto" w:fill="auto"/>
            <w:tcMar>
              <w:top w:w="0" w:type="dxa"/>
              <w:bottom w:w="0" w:type="dxa"/>
            </w:tcMar>
            <w:vAlign w:val="center"/>
          </w:tcPr>
          <w:p w14:paraId="5F6F39C8"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1%</w:t>
            </w:r>
          </w:p>
        </w:tc>
        <w:tc>
          <w:tcPr>
            <w:tcW w:w="2007" w:type="pct"/>
            <w:shd w:val="clear" w:color="auto" w:fill="auto"/>
            <w:tcMar>
              <w:top w:w="0" w:type="dxa"/>
              <w:bottom w:w="0" w:type="dxa"/>
            </w:tcMar>
            <w:vAlign w:val="center"/>
          </w:tcPr>
          <w:p w14:paraId="49089129"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Payment/Profit after tax</w:t>
            </w:r>
          </w:p>
        </w:tc>
      </w:tr>
      <w:tr w:rsidR="0024429E" w:rsidRPr="00793F5E" w14:paraId="109C6083" w14:textId="77777777" w:rsidTr="00A25ED8">
        <w:tc>
          <w:tcPr>
            <w:tcW w:w="2115" w:type="pct"/>
            <w:shd w:val="clear" w:color="auto" w:fill="auto"/>
            <w:tcMar>
              <w:top w:w="0" w:type="dxa"/>
              <w:bottom w:w="0" w:type="dxa"/>
            </w:tcMar>
            <w:vAlign w:val="center"/>
          </w:tcPr>
          <w:p w14:paraId="1DCC0E7D"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Investment and development fund</w:t>
            </w:r>
          </w:p>
        </w:tc>
        <w:tc>
          <w:tcPr>
            <w:tcW w:w="878" w:type="pct"/>
            <w:shd w:val="clear" w:color="auto" w:fill="auto"/>
            <w:tcMar>
              <w:top w:w="0" w:type="dxa"/>
              <w:bottom w:w="0" w:type="dxa"/>
            </w:tcMar>
            <w:vAlign w:val="center"/>
          </w:tcPr>
          <w:p w14:paraId="3854833D" w14:textId="77777777" w:rsidR="0024429E" w:rsidRPr="00793F5E" w:rsidRDefault="0024429E" w:rsidP="00A25ED8">
            <w:pPr>
              <w:tabs>
                <w:tab w:val="left" w:pos="270"/>
              </w:tabs>
              <w:spacing w:after="120" w:line="360" w:lineRule="auto"/>
              <w:rPr>
                <w:rFonts w:ascii="Arial" w:eastAsia="Arial" w:hAnsi="Arial" w:cs="Arial"/>
                <w:color w:val="010000"/>
                <w:sz w:val="20"/>
                <w:szCs w:val="20"/>
              </w:rPr>
            </w:pPr>
          </w:p>
        </w:tc>
        <w:tc>
          <w:tcPr>
            <w:tcW w:w="2007" w:type="pct"/>
            <w:shd w:val="clear" w:color="auto" w:fill="auto"/>
            <w:tcMar>
              <w:top w:w="0" w:type="dxa"/>
              <w:bottom w:w="0" w:type="dxa"/>
            </w:tcMar>
            <w:vAlign w:val="center"/>
          </w:tcPr>
          <w:p w14:paraId="1D3B8CFC"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The remainder after distributing profits to the above items.</w:t>
            </w:r>
          </w:p>
        </w:tc>
      </w:tr>
    </w:tbl>
    <w:p w14:paraId="5A2F4792"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In which, dividends can be paid in cash, or in both share and cash according to the rate, structure and time selected by the Board of Directors and reported to the General Meeting of Shareholders.</w:t>
      </w:r>
    </w:p>
    <w:p w14:paraId="62D99EE7"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The details of remuneration for the Board of Directors and the Supervisory Board in 2024 are as follows:</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04"/>
        <w:gridCol w:w="2813"/>
      </w:tblGrid>
      <w:tr w:rsidR="0024429E" w:rsidRPr="00793F5E" w14:paraId="670844B7" w14:textId="77777777" w:rsidTr="00A25ED8">
        <w:tc>
          <w:tcPr>
            <w:tcW w:w="3440" w:type="pct"/>
            <w:shd w:val="clear" w:color="auto" w:fill="auto"/>
            <w:tcMar>
              <w:top w:w="0" w:type="dxa"/>
              <w:bottom w:w="0" w:type="dxa"/>
            </w:tcMar>
            <w:vAlign w:val="center"/>
          </w:tcPr>
          <w:p w14:paraId="51B1EF37"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Position</w:t>
            </w:r>
          </w:p>
        </w:tc>
        <w:tc>
          <w:tcPr>
            <w:tcW w:w="1560" w:type="pct"/>
            <w:shd w:val="clear" w:color="auto" w:fill="auto"/>
            <w:tcMar>
              <w:top w:w="0" w:type="dxa"/>
              <w:bottom w:w="0" w:type="dxa"/>
            </w:tcMar>
            <w:vAlign w:val="center"/>
          </w:tcPr>
          <w:p w14:paraId="3232EF04"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Amount/month (VND 1,000)</w:t>
            </w:r>
          </w:p>
        </w:tc>
      </w:tr>
      <w:tr w:rsidR="0024429E" w:rsidRPr="00793F5E" w14:paraId="7ECF9ECE" w14:textId="77777777" w:rsidTr="00A25ED8">
        <w:tc>
          <w:tcPr>
            <w:tcW w:w="3440" w:type="pct"/>
            <w:shd w:val="clear" w:color="auto" w:fill="auto"/>
            <w:tcMar>
              <w:top w:w="0" w:type="dxa"/>
              <w:bottom w:w="0" w:type="dxa"/>
            </w:tcMar>
            <w:vAlign w:val="center"/>
          </w:tcPr>
          <w:p w14:paraId="43411FA2"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Chair of the Board of Directors</w:t>
            </w:r>
          </w:p>
        </w:tc>
        <w:tc>
          <w:tcPr>
            <w:tcW w:w="1560" w:type="pct"/>
            <w:shd w:val="clear" w:color="auto" w:fill="auto"/>
            <w:tcMar>
              <w:top w:w="0" w:type="dxa"/>
              <w:bottom w:w="0" w:type="dxa"/>
            </w:tcMar>
            <w:vAlign w:val="center"/>
          </w:tcPr>
          <w:p w14:paraId="34676D0F"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6,000</w:t>
            </w:r>
          </w:p>
        </w:tc>
      </w:tr>
      <w:tr w:rsidR="0024429E" w:rsidRPr="00793F5E" w14:paraId="2507D225" w14:textId="77777777" w:rsidTr="00A25ED8">
        <w:tc>
          <w:tcPr>
            <w:tcW w:w="3440" w:type="pct"/>
            <w:shd w:val="clear" w:color="auto" w:fill="auto"/>
            <w:tcMar>
              <w:top w:w="0" w:type="dxa"/>
              <w:bottom w:w="0" w:type="dxa"/>
            </w:tcMar>
            <w:vAlign w:val="center"/>
          </w:tcPr>
          <w:p w14:paraId="7E0C342D"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Member of the Board of Directors</w:t>
            </w:r>
          </w:p>
        </w:tc>
        <w:tc>
          <w:tcPr>
            <w:tcW w:w="1560" w:type="pct"/>
            <w:shd w:val="clear" w:color="auto" w:fill="auto"/>
            <w:tcMar>
              <w:top w:w="0" w:type="dxa"/>
              <w:bottom w:w="0" w:type="dxa"/>
            </w:tcMar>
            <w:vAlign w:val="center"/>
          </w:tcPr>
          <w:p w14:paraId="353A9F8E"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3,000</w:t>
            </w:r>
          </w:p>
        </w:tc>
      </w:tr>
      <w:tr w:rsidR="0024429E" w:rsidRPr="00793F5E" w14:paraId="76E46840" w14:textId="77777777" w:rsidTr="00A25ED8">
        <w:tc>
          <w:tcPr>
            <w:tcW w:w="3440" w:type="pct"/>
            <w:shd w:val="clear" w:color="auto" w:fill="auto"/>
            <w:tcMar>
              <w:top w:w="0" w:type="dxa"/>
              <w:bottom w:w="0" w:type="dxa"/>
            </w:tcMar>
            <w:vAlign w:val="center"/>
          </w:tcPr>
          <w:p w14:paraId="38159AD3"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Chief of the Supervisory Board</w:t>
            </w:r>
          </w:p>
        </w:tc>
        <w:tc>
          <w:tcPr>
            <w:tcW w:w="1560" w:type="pct"/>
            <w:shd w:val="clear" w:color="auto" w:fill="auto"/>
            <w:tcMar>
              <w:top w:w="0" w:type="dxa"/>
              <w:bottom w:w="0" w:type="dxa"/>
            </w:tcMar>
            <w:vAlign w:val="center"/>
          </w:tcPr>
          <w:p w14:paraId="2FE17223"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3,000</w:t>
            </w:r>
          </w:p>
        </w:tc>
      </w:tr>
      <w:tr w:rsidR="0024429E" w:rsidRPr="00793F5E" w14:paraId="6C0DA112" w14:textId="77777777" w:rsidTr="00A25ED8">
        <w:tc>
          <w:tcPr>
            <w:tcW w:w="3440" w:type="pct"/>
            <w:shd w:val="clear" w:color="auto" w:fill="auto"/>
            <w:tcMar>
              <w:top w:w="0" w:type="dxa"/>
              <w:bottom w:w="0" w:type="dxa"/>
            </w:tcMar>
            <w:vAlign w:val="center"/>
          </w:tcPr>
          <w:p w14:paraId="338060A7"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Member of the Supervisory Board</w:t>
            </w:r>
          </w:p>
        </w:tc>
        <w:tc>
          <w:tcPr>
            <w:tcW w:w="1560" w:type="pct"/>
            <w:shd w:val="clear" w:color="auto" w:fill="auto"/>
            <w:tcMar>
              <w:top w:w="0" w:type="dxa"/>
              <w:bottom w:w="0" w:type="dxa"/>
            </w:tcMar>
            <w:vAlign w:val="center"/>
          </w:tcPr>
          <w:p w14:paraId="5F08B4D1"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2,000</w:t>
            </w:r>
          </w:p>
        </w:tc>
      </w:tr>
      <w:tr w:rsidR="0024429E" w:rsidRPr="00793F5E" w14:paraId="332D6924" w14:textId="77777777" w:rsidTr="00A25ED8">
        <w:tc>
          <w:tcPr>
            <w:tcW w:w="3440" w:type="pct"/>
            <w:shd w:val="clear" w:color="auto" w:fill="auto"/>
            <w:tcMar>
              <w:top w:w="0" w:type="dxa"/>
              <w:bottom w:w="0" w:type="dxa"/>
            </w:tcMar>
            <w:vAlign w:val="center"/>
          </w:tcPr>
          <w:p w14:paraId="61E92600"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Non-executive members of the Supervisory Board</w:t>
            </w:r>
          </w:p>
        </w:tc>
        <w:tc>
          <w:tcPr>
            <w:tcW w:w="1560" w:type="pct"/>
            <w:shd w:val="clear" w:color="auto" w:fill="auto"/>
            <w:tcMar>
              <w:top w:w="0" w:type="dxa"/>
              <w:bottom w:w="0" w:type="dxa"/>
            </w:tcMar>
            <w:vAlign w:val="center"/>
          </w:tcPr>
          <w:p w14:paraId="4863AE95" w14:textId="77777777" w:rsidR="0024429E" w:rsidRPr="00793F5E" w:rsidRDefault="00A25ED8" w:rsidP="00A25ED8">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1,000</w:t>
            </w:r>
          </w:p>
        </w:tc>
      </w:tr>
    </w:tbl>
    <w:p w14:paraId="702749D7" w14:textId="77777777" w:rsidR="0024429E" w:rsidRPr="00793F5E" w:rsidRDefault="00A25ED8" w:rsidP="00A25ED8">
      <w:pPr>
        <w:keepNext/>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793F5E">
        <w:rPr>
          <w:rFonts w:ascii="Arial" w:hAnsi="Arial" w:cs="Arial"/>
          <w:color w:val="010000"/>
          <w:sz w:val="20"/>
        </w:rPr>
        <w:t>Article 4: Approve the plan to organize the Annual General Meeting of Shareholders 2024:</w:t>
      </w:r>
    </w:p>
    <w:p w14:paraId="2E48AD0D" w14:textId="77777777" w:rsidR="0024429E" w:rsidRPr="00793F5E" w:rsidRDefault="00A25ED8" w:rsidP="0025441D">
      <w:pPr>
        <w:numPr>
          <w:ilvl w:val="0"/>
          <w:numId w:val="1"/>
        </w:numPr>
        <w:pBdr>
          <w:top w:val="nil"/>
          <w:left w:val="nil"/>
          <w:bottom w:val="nil"/>
          <w:right w:val="nil"/>
          <w:between w:val="nil"/>
        </w:pBdr>
        <w:tabs>
          <w:tab w:val="left" w:pos="270"/>
        </w:tabs>
        <w:spacing w:after="120" w:line="360" w:lineRule="auto"/>
        <w:jc w:val="both"/>
        <w:rPr>
          <w:rFonts w:ascii="Arial" w:hAnsi="Arial" w:cs="Arial"/>
          <w:color w:val="010000"/>
          <w:sz w:val="20"/>
          <w:szCs w:val="20"/>
        </w:rPr>
      </w:pPr>
      <w:r w:rsidRPr="00793F5E">
        <w:rPr>
          <w:rFonts w:ascii="Arial" w:hAnsi="Arial" w:cs="Arial"/>
          <w:color w:val="010000"/>
          <w:sz w:val="20"/>
        </w:rPr>
        <w:t>Expected meeting date: April 27, 2024.</w:t>
      </w:r>
    </w:p>
    <w:p w14:paraId="35238D96" w14:textId="77777777" w:rsidR="0024429E" w:rsidRPr="00793F5E" w:rsidRDefault="00A25ED8" w:rsidP="0025441D">
      <w:pPr>
        <w:numPr>
          <w:ilvl w:val="0"/>
          <w:numId w:val="1"/>
        </w:numPr>
        <w:pBdr>
          <w:top w:val="nil"/>
          <w:left w:val="nil"/>
          <w:bottom w:val="nil"/>
          <w:right w:val="nil"/>
          <w:between w:val="nil"/>
        </w:pBdr>
        <w:tabs>
          <w:tab w:val="left" w:pos="270"/>
        </w:tabs>
        <w:spacing w:after="120" w:line="360" w:lineRule="auto"/>
        <w:jc w:val="both"/>
        <w:rPr>
          <w:rFonts w:ascii="Arial" w:hAnsi="Arial" w:cs="Arial"/>
          <w:color w:val="010000"/>
          <w:sz w:val="20"/>
          <w:szCs w:val="20"/>
        </w:rPr>
      </w:pPr>
      <w:r w:rsidRPr="00793F5E">
        <w:rPr>
          <w:rFonts w:ascii="Arial" w:hAnsi="Arial" w:cs="Arial"/>
          <w:color w:val="010000"/>
          <w:sz w:val="20"/>
        </w:rPr>
        <w:t>Record date: March 28, 2024.</w:t>
      </w:r>
    </w:p>
    <w:p w14:paraId="2FFB805F" w14:textId="77777777" w:rsidR="0024429E" w:rsidRPr="00793F5E" w:rsidRDefault="00A25ED8" w:rsidP="0025441D">
      <w:pPr>
        <w:numPr>
          <w:ilvl w:val="0"/>
          <w:numId w:val="1"/>
        </w:numPr>
        <w:pBdr>
          <w:top w:val="nil"/>
          <w:left w:val="nil"/>
          <w:bottom w:val="nil"/>
          <w:right w:val="nil"/>
          <w:between w:val="nil"/>
        </w:pBdr>
        <w:tabs>
          <w:tab w:val="left" w:pos="270"/>
        </w:tabs>
        <w:spacing w:after="120" w:line="360" w:lineRule="auto"/>
        <w:jc w:val="both"/>
        <w:rPr>
          <w:rFonts w:ascii="Arial" w:hAnsi="Arial" w:cs="Arial"/>
          <w:color w:val="010000"/>
          <w:sz w:val="20"/>
          <w:szCs w:val="20"/>
        </w:rPr>
      </w:pPr>
      <w:r w:rsidRPr="00793F5E">
        <w:rPr>
          <w:rFonts w:ascii="Arial" w:hAnsi="Arial" w:cs="Arial"/>
          <w:color w:val="010000"/>
          <w:sz w:val="20"/>
        </w:rPr>
        <w:t>Venue: To be announced in the invitation letter.</w:t>
      </w:r>
    </w:p>
    <w:p w14:paraId="5E787DEC" w14:textId="77777777" w:rsidR="0024429E" w:rsidRPr="00793F5E" w:rsidRDefault="00A25ED8" w:rsidP="0025441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793F5E">
        <w:rPr>
          <w:rFonts w:ascii="Arial" w:hAnsi="Arial" w:cs="Arial"/>
          <w:color w:val="010000"/>
          <w:sz w:val="20"/>
        </w:rPr>
        <w:t>Article 5: Approve signing a transaction contract between the Company and affiliated persons of PDMR as follows:</w:t>
      </w:r>
    </w:p>
    <w:p w14:paraId="4F83B687" w14:textId="77777777" w:rsidR="0024429E" w:rsidRPr="00793F5E" w:rsidRDefault="00A25ED8" w:rsidP="0025441D">
      <w:pPr>
        <w:numPr>
          <w:ilvl w:val="0"/>
          <w:numId w:val="2"/>
        </w:numPr>
        <w:pBdr>
          <w:top w:val="nil"/>
          <w:left w:val="nil"/>
          <w:bottom w:val="nil"/>
          <w:right w:val="nil"/>
          <w:between w:val="nil"/>
        </w:pBdr>
        <w:tabs>
          <w:tab w:val="left" w:pos="270"/>
          <w:tab w:val="left" w:pos="350"/>
        </w:tabs>
        <w:spacing w:after="120" w:line="360" w:lineRule="auto"/>
        <w:jc w:val="both"/>
        <w:rPr>
          <w:rFonts w:ascii="Arial" w:hAnsi="Arial" w:cs="Arial"/>
          <w:color w:val="010000"/>
          <w:sz w:val="20"/>
          <w:szCs w:val="20"/>
        </w:rPr>
      </w:pPr>
      <w:r w:rsidRPr="00793F5E">
        <w:rPr>
          <w:rFonts w:ascii="Arial" w:hAnsi="Arial" w:cs="Arial"/>
          <w:color w:val="010000"/>
          <w:sz w:val="20"/>
        </w:rPr>
        <w:t>Affiliated person (organization) of PDMR: LienViet Post Joint Stock Commercial Bank - Kien Giang Branch (Mr. Huynh Thanh Dung - Member of the Board of Directors, Branch Manager)</w:t>
      </w:r>
    </w:p>
    <w:p w14:paraId="0AFE332F" w14:textId="40F0A797" w:rsidR="0024429E" w:rsidRPr="00793F5E" w:rsidRDefault="00A25ED8" w:rsidP="0025441D">
      <w:pPr>
        <w:numPr>
          <w:ilvl w:val="0"/>
          <w:numId w:val="2"/>
        </w:numPr>
        <w:pBdr>
          <w:top w:val="nil"/>
          <w:left w:val="nil"/>
          <w:bottom w:val="nil"/>
          <w:right w:val="nil"/>
          <w:between w:val="nil"/>
        </w:pBdr>
        <w:tabs>
          <w:tab w:val="left" w:pos="270"/>
          <w:tab w:val="left" w:pos="350"/>
        </w:tabs>
        <w:spacing w:after="120" w:line="360" w:lineRule="auto"/>
        <w:jc w:val="both"/>
        <w:rPr>
          <w:rFonts w:ascii="Arial" w:hAnsi="Arial" w:cs="Arial"/>
          <w:color w:val="010000"/>
          <w:sz w:val="20"/>
          <w:szCs w:val="20"/>
        </w:rPr>
      </w:pPr>
      <w:r w:rsidRPr="00793F5E">
        <w:rPr>
          <w:rFonts w:ascii="Arial" w:hAnsi="Arial" w:cs="Arial"/>
          <w:color w:val="010000"/>
          <w:sz w:val="20"/>
        </w:rPr>
        <w:t>Content: Approve the Company borrowing capital of VND 3,00</w:t>
      </w:r>
      <w:bookmarkStart w:id="0" w:name="_GoBack"/>
      <w:bookmarkEnd w:id="0"/>
      <w:r w:rsidRPr="00793F5E">
        <w:rPr>
          <w:rFonts w:ascii="Arial" w:hAnsi="Arial" w:cs="Arial"/>
          <w:color w:val="010000"/>
          <w:sz w:val="20"/>
        </w:rPr>
        <w:t>0,000,000 or equivalent foreign currency conversion at LienViet Post Commercial Joint Stock Bank - Kien Giang Branch to supplement working capital and prepay H</w:t>
      </w:r>
      <w:r w:rsidR="006C091F">
        <w:rPr>
          <w:rFonts w:ascii="Arial" w:hAnsi="Arial" w:cs="Arial"/>
          <w:color w:val="010000"/>
          <w:sz w:val="20"/>
        </w:rPr>
        <w:t>XT</w:t>
      </w:r>
      <w:r w:rsidRPr="00793F5E">
        <w:rPr>
          <w:rFonts w:ascii="Arial" w:hAnsi="Arial" w:cs="Arial"/>
          <w:color w:val="010000"/>
          <w:sz w:val="20"/>
        </w:rPr>
        <w:t xml:space="preserve"> fishmeal. </w:t>
      </w:r>
    </w:p>
    <w:p w14:paraId="3CB301E2" w14:textId="77777777" w:rsidR="0024429E" w:rsidRPr="00793F5E" w:rsidRDefault="00A25ED8" w:rsidP="0025441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793F5E">
        <w:rPr>
          <w:rFonts w:ascii="Arial" w:hAnsi="Arial" w:cs="Arial"/>
          <w:color w:val="010000"/>
          <w:sz w:val="20"/>
        </w:rPr>
        <w:t>Article 6: Implementation:</w:t>
      </w:r>
    </w:p>
    <w:p w14:paraId="3A5C0AD3" w14:textId="77777777" w:rsidR="0024429E" w:rsidRPr="00793F5E" w:rsidRDefault="00A25ED8" w:rsidP="0025441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793F5E">
        <w:rPr>
          <w:rFonts w:ascii="Arial" w:hAnsi="Arial" w:cs="Arial"/>
          <w:color w:val="010000"/>
          <w:sz w:val="20"/>
        </w:rPr>
        <w:lastRenderedPageBreak/>
        <w:t>This Resolution was approved by the Board of Directors on March 5, 2024.</w:t>
      </w:r>
    </w:p>
    <w:p w14:paraId="781824AE" w14:textId="77777777" w:rsidR="0024429E" w:rsidRPr="00793F5E" w:rsidRDefault="00A25ED8" w:rsidP="0025441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793F5E">
        <w:rPr>
          <w:rFonts w:ascii="Arial" w:hAnsi="Arial" w:cs="Arial"/>
          <w:color w:val="010000"/>
          <w:sz w:val="20"/>
        </w:rPr>
        <w:t>The Board of Directors, the Board of Management, units and departments of the Company are responsible for implementing this Resolution.</w:t>
      </w:r>
    </w:p>
    <w:sectPr w:rsidR="0024429E" w:rsidRPr="00793F5E" w:rsidSect="00A25ED8">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A0F"/>
    <w:multiLevelType w:val="multilevel"/>
    <w:tmpl w:val="CE6C9B6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7D3571A"/>
    <w:multiLevelType w:val="multilevel"/>
    <w:tmpl w:val="9FAE50D2"/>
    <w:lvl w:ilvl="0">
      <w:start w:val="1"/>
      <w:numFmt w:val="bullet"/>
      <w:lvlText w:val="-"/>
      <w:lvlJc w:val="left"/>
      <w:pPr>
        <w:ind w:left="0" w:firstLine="0"/>
      </w:pPr>
      <w:rPr>
        <w:rFonts w:ascii="Arial" w:eastAsia="Arial" w:hAnsi="Arial" w:cs="Arial"/>
        <w:b w:val="0"/>
        <w:i w:val="0"/>
        <w:smallCaps w:val="0"/>
        <w:strike w:val="0"/>
        <w:color w:val="383436"/>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9E"/>
    <w:rsid w:val="0024429E"/>
    <w:rsid w:val="0025441D"/>
    <w:rsid w:val="006C091F"/>
    <w:rsid w:val="00793F5E"/>
    <w:rsid w:val="00A25ED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28B62"/>
  <w15:docId w15:val="{CEB3DECA-C37A-48A9-A9EC-5E1B629E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383436"/>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383436"/>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color w:val="383436"/>
      <w:sz w:val="26"/>
      <w:szCs w:val="26"/>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color w:val="383436"/>
      <w:sz w:val="40"/>
      <w:szCs w:val="40"/>
      <w:u w:val="none"/>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color w:val="383436"/>
      <w:sz w:val="34"/>
      <w:szCs w:val="34"/>
      <w:u w:val="none"/>
    </w:rPr>
  </w:style>
  <w:style w:type="character" w:customStyle="1" w:styleId="Heading30">
    <w:name w:val="Heading #3_"/>
    <w:basedOn w:val="DefaultParagraphFont"/>
    <w:link w:val="Heading31"/>
    <w:rPr>
      <w:rFonts w:ascii="Times New Roman" w:eastAsia="Times New Roman" w:hAnsi="Times New Roman" w:cs="Times New Roman"/>
      <w:b/>
      <w:bCs/>
      <w:i w:val="0"/>
      <w:iCs w:val="0"/>
      <w:smallCaps w:val="0"/>
      <w:strike w:val="0"/>
      <w:color w:val="383436"/>
      <w:u w:val="none"/>
    </w:rPr>
  </w:style>
  <w:style w:type="paragraph" w:styleId="BodyText">
    <w:name w:val="Body Text"/>
    <w:basedOn w:val="Normal"/>
    <w:link w:val="BodyTextChar"/>
    <w:qFormat/>
    <w:pPr>
      <w:spacing w:line="307" w:lineRule="auto"/>
    </w:pPr>
    <w:rPr>
      <w:rFonts w:ascii="Times New Roman" w:eastAsia="Times New Roman" w:hAnsi="Times New Roman" w:cs="Times New Roman"/>
      <w:color w:val="383436"/>
    </w:rPr>
  </w:style>
  <w:style w:type="paragraph" w:customStyle="1" w:styleId="Other0">
    <w:name w:val="Other"/>
    <w:basedOn w:val="Normal"/>
    <w:link w:val="Other"/>
    <w:pPr>
      <w:spacing w:line="307" w:lineRule="auto"/>
    </w:pPr>
    <w:rPr>
      <w:rFonts w:ascii="Times New Roman" w:eastAsia="Times New Roman" w:hAnsi="Times New Roman" w:cs="Times New Roman"/>
      <w:color w:val="383436"/>
    </w:rPr>
  </w:style>
  <w:style w:type="paragraph" w:customStyle="1" w:styleId="Tablecaption0">
    <w:name w:val="Table caption"/>
    <w:basedOn w:val="Normal"/>
    <w:link w:val="Tablecaption"/>
    <w:pPr>
      <w:spacing w:line="312" w:lineRule="auto"/>
    </w:pPr>
    <w:rPr>
      <w:rFonts w:ascii="Times New Roman" w:eastAsia="Times New Roman" w:hAnsi="Times New Roman" w:cs="Times New Roman"/>
      <w:color w:val="383436"/>
      <w:sz w:val="26"/>
      <w:szCs w:val="26"/>
    </w:rPr>
  </w:style>
  <w:style w:type="paragraph" w:customStyle="1" w:styleId="Heading11">
    <w:name w:val="Heading #1"/>
    <w:basedOn w:val="Normal"/>
    <w:link w:val="Heading10"/>
    <w:pPr>
      <w:ind w:left="1140"/>
      <w:outlineLvl w:val="0"/>
    </w:pPr>
    <w:rPr>
      <w:rFonts w:ascii="Times New Roman" w:eastAsia="Times New Roman" w:hAnsi="Times New Roman" w:cs="Times New Roman"/>
      <w:b/>
      <w:bCs/>
      <w:color w:val="383436"/>
      <w:sz w:val="40"/>
      <w:szCs w:val="40"/>
    </w:rPr>
  </w:style>
  <w:style w:type="paragraph" w:customStyle="1" w:styleId="Heading21">
    <w:name w:val="Heading #2"/>
    <w:basedOn w:val="Normal"/>
    <w:link w:val="Heading20"/>
    <w:pPr>
      <w:spacing w:line="360" w:lineRule="auto"/>
      <w:jc w:val="center"/>
      <w:outlineLvl w:val="1"/>
    </w:pPr>
    <w:rPr>
      <w:rFonts w:ascii="Times New Roman" w:eastAsia="Times New Roman" w:hAnsi="Times New Roman" w:cs="Times New Roman"/>
      <w:b/>
      <w:bCs/>
      <w:color w:val="383436"/>
      <w:sz w:val="34"/>
      <w:szCs w:val="34"/>
    </w:rPr>
  </w:style>
  <w:style w:type="paragraph" w:customStyle="1" w:styleId="Heading31">
    <w:name w:val="Heading #3"/>
    <w:basedOn w:val="Normal"/>
    <w:link w:val="Heading30"/>
    <w:pPr>
      <w:spacing w:line="386" w:lineRule="auto"/>
      <w:ind w:left="210"/>
      <w:outlineLvl w:val="2"/>
    </w:pPr>
    <w:rPr>
      <w:rFonts w:ascii="Times New Roman" w:eastAsia="Times New Roman" w:hAnsi="Times New Roman" w:cs="Times New Roman"/>
      <w:b/>
      <w:bCs/>
      <w:color w:val="3834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0/YTMYvbxYDH9jTCTt49w8spUg==">CgMxLjA4AHIhMWNpenhHZkVDSGoyNGRGb0dqY2RwaFhnZG9oRXVBWWI2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5</cp:revision>
  <dcterms:created xsi:type="dcterms:W3CDTF">2024-03-07T03:57:00Z</dcterms:created>
  <dcterms:modified xsi:type="dcterms:W3CDTF">2024-03-08T08:37:00Z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9781dbc1c9da470f0e8da48d131801064407858f8068c647438a95957eb5d4a7</vt:lpwstr>
  </property>
</Properties>
</file>