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AD78EC">
        <w:rPr>
          <w:rFonts w:ascii="Arial" w:hAnsi="Arial" w:cs="Arial"/>
          <w:b/>
          <w:color w:val="010000"/>
          <w:sz w:val="20"/>
        </w:rPr>
        <w:t>MTB</w:t>
      </w:r>
      <w:proofErr w:type="spellEnd"/>
      <w:r w:rsidRPr="00AD78EC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On March 6, 2024, Thai </w:t>
      </w:r>
      <w:proofErr w:type="spellStart"/>
      <w:r w:rsidRPr="00AD78EC">
        <w:rPr>
          <w:rFonts w:ascii="Arial" w:hAnsi="Arial" w:cs="Arial"/>
          <w:color w:val="010000"/>
          <w:sz w:val="20"/>
        </w:rPr>
        <w:t>Binh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Environment And Urban Projects Joint Stock Company announced Decision No. 05/</w:t>
      </w:r>
      <w:proofErr w:type="spellStart"/>
      <w:r w:rsidRPr="00AD78EC">
        <w:rPr>
          <w:rFonts w:ascii="Arial" w:hAnsi="Arial" w:cs="Arial"/>
          <w:color w:val="010000"/>
          <w:sz w:val="20"/>
        </w:rPr>
        <w:t>QD-HDQT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on establishing the Organizing Committee and Subcommittees to implement the organization of the Annual General Meeting of Shareholders 2024, as follows:</w:t>
      </w:r>
    </w:p>
    <w:p w14:paraId="00000003" w14:textId="77777777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‎‎Article 1. Establish the Organizing Committee for Thai </w:t>
      </w:r>
      <w:proofErr w:type="spellStart"/>
      <w:r w:rsidRPr="00AD78EC">
        <w:rPr>
          <w:rFonts w:ascii="Arial" w:hAnsi="Arial" w:cs="Arial"/>
          <w:color w:val="010000"/>
          <w:sz w:val="20"/>
        </w:rPr>
        <w:t>Binh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Environment And Urban Projects Joint Stock Company's Annual General Meeting of Shareholders 2024, including the following members:</w:t>
      </w:r>
    </w:p>
    <w:p w14:paraId="00000004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Mr. Hoang Anh Duong, Chair of the Board of Directors, Head of the Committee;</w:t>
      </w:r>
    </w:p>
    <w:p w14:paraId="00000005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2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Trinh </w:t>
      </w:r>
      <w:proofErr w:type="spellStart"/>
      <w:r w:rsidRPr="00AD78EC">
        <w:rPr>
          <w:rFonts w:ascii="Arial" w:hAnsi="Arial" w:cs="Arial"/>
          <w:color w:val="010000"/>
          <w:sz w:val="20"/>
        </w:rPr>
        <w:t>Duy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D78EC">
        <w:rPr>
          <w:rFonts w:ascii="Arial" w:hAnsi="Arial" w:cs="Arial"/>
          <w:color w:val="010000"/>
          <w:sz w:val="20"/>
        </w:rPr>
        <w:t>Hien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Board of Directors, Company Manager, Deputy Head of the Committee;</w:t>
      </w:r>
    </w:p>
    <w:p w14:paraId="00000006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Tran </w:t>
      </w:r>
      <w:proofErr w:type="spellStart"/>
      <w:r w:rsidRPr="00AD78EC">
        <w:rPr>
          <w:rFonts w:ascii="Arial" w:hAnsi="Arial" w:cs="Arial"/>
          <w:color w:val="010000"/>
          <w:sz w:val="20"/>
        </w:rPr>
        <w:t>Xuan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Huyen, Member of the Board of Directors, Deputy Manager and Head of Sales and Services Department, member of the Committee;</w:t>
      </w:r>
    </w:p>
    <w:p w14:paraId="00000007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Vu Dinh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independent member of the Board of Directors, member of the Committee;</w:t>
      </w:r>
    </w:p>
    <w:p w14:paraId="00000008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Ms. Nguyen Thi Lan, independent member of the Board of Directors, member of the Committee;</w:t>
      </w:r>
    </w:p>
    <w:p w14:paraId="00000009" w14:textId="74698EB0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Do Thi Thuy, </w:t>
      </w:r>
      <w:r w:rsidR="00FA0E03" w:rsidRPr="00AD78EC">
        <w:rPr>
          <w:rFonts w:ascii="Arial" w:hAnsi="Arial" w:cs="Arial"/>
          <w:color w:val="010000"/>
          <w:sz w:val="20"/>
        </w:rPr>
        <w:t xml:space="preserve">Chief </w:t>
      </w:r>
      <w:r w:rsidRPr="00AD78EC">
        <w:rPr>
          <w:rFonts w:ascii="Arial" w:hAnsi="Arial" w:cs="Arial"/>
          <w:color w:val="010000"/>
          <w:sz w:val="20"/>
        </w:rPr>
        <w:t>of the Supervisory Board, Deputy Head of the Organization and Administration Department, member of the Committee;</w:t>
      </w:r>
    </w:p>
    <w:p w14:paraId="0000000A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Mr. Pham Minh Tuan, member of the Board of Directors, Chief Accountant, member of the Committee;</w:t>
      </w:r>
    </w:p>
    <w:p w14:paraId="0000000B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Dinh Thi Duc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Supervisory Board, Officer of the Accounting and Finance Department, member of the Committee;</w:t>
      </w:r>
    </w:p>
    <w:p w14:paraId="0000000C" w14:textId="77777777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</w:t>
      </w:r>
      <w:proofErr w:type="spellStart"/>
      <w:r w:rsidRPr="00AD78EC">
        <w:rPr>
          <w:rFonts w:ascii="Arial" w:hAnsi="Arial" w:cs="Arial"/>
          <w:color w:val="010000"/>
          <w:sz w:val="20"/>
        </w:rPr>
        <w:t>Nham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Thi Hong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Supervisory Board, Officer of the Sales and Services Department, member of the Committee;</w:t>
      </w:r>
    </w:p>
    <w:p w14:paraId="0000000D" w14:textId="019C4994" w:rsidR="00E12799" w:rsidRPr="00AD78EC" w:rsidRDefault="00851EEE" w:rsidP="003954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Nguyen Ngoc </w:t>
      </w:r>
      <w:proofErr w:type="spellStart"/>
      <w:r w:rsidRPr="00AD78EC">
        <w:rPr>
          <w:rFonts w:ascii="Arial" w:hAnsi="Arial" w:cs="Arial"/>
          <w:color w:val="010000"/>
          <w:sz w:val="20"/>
        </w:rPr>
        <w:t>Toan</w:t>
      </w:r>
      <w:proofErr w:type="spellEnd"/>
      <w:r w:rsidRPr="00AD78EC">
        <w:rPr>
          <w:rFonts w:ascii="Arial" w:hAnsi="Arial" w:cs="Arial"/>
          <w:color w:val="010000"/>
          <w:sz w:val="20"/>
        </w:rPr>
        <w:t>, Company Secretar</w:t>
      </w:r>
      <w:r w:rsidR="00FA0E03" w:rsidRPr="00AD78EC">
        <w:rPr>
          <w:rFonts w:ascii="Arial" w:hAnsi="Arial" w:cs="Arial"/>
          <w:color w:val="010000"/>
          <w:sz w:val="20"/>
        </w:rPr>
        <w:t>iat</w:t>
      </w:r>
      <w:r w:rsidRPr="00AD78EC">
        <w:rPr>
          <w:rFonts w:ascii="Arial" w:hAnsi="Arial" w:cs="Arial"/>
          <w:color w:val="010000"/>
          <w:sz w:val="20"/>
        </w:rPr>
        <w:t>, Head of Organization - Administration Department, member of the Committee.</w:t>
      </w:r>
    </w:p>
    <w:p w14:paraId="0000000E" w14:textId="77777777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‎‎Article 2. Establish the Subcommittees for Thai </w:t>
      </w:r>
      <w:proofErr w:type="spellStart"/>
      <w:r w:rsidRPr="00AD78EC">
        <w:rPr>
          <w:rFonts w:ascii="Arial" w:hAnsi="Arial" w:cs="Arial"/>
          <w:color w:val="010000"/>
          <w:sz w:val="20"/>
        </w:rPr>
        <w:t>Binh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Environment And Urban Projects Joint Stock Company's Annual General Meeting of Shareholders 2024.</w:t>
      </w:r>
    </w:p>
    <w:p w14:paraId="0000000F" w14:textId="77777777" w:rsidR="00E12799" w:rsidRPr="00AD78EC" w:rsidRDefault="00851EEE" w:rsidP="003954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Document Subcommittee, including:</w:t>
      </w:r>
    </w:p>
    <w:p w14:paraId="00000010" w14:textId="77777777" w:rsidR="00E12799" w:rsidRPr="00AD78EC" w:rsidRDefault="00851EEE" w:rsidP="003954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Mr. Hoang Anh Duong, Chair of the Board of Directors, Head of the Organizing Committee, Head of the Subcommittee;</w:t>
      </w:r>
    </w:p>
    <w:p w14:paraId="00000011" w14:textId="6963E71F" w:rsidR="00E12799" w:rsidRPr="00AD78EC" w:rsidRDefault="00851EEE" w:rsidP="003954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Trinh </w:t>
      </w:r>
      <w:proofErr w:type="spellStart"/>
      <w:r w:rsidRPr="00AD78EC">
        <w:rPr>
          <w:rFonts w:ascii="Arial" w:hAnsi="Arial" w:cs="Arial"/>
          <w:color w:val="010000"/>
          <w:sz w:val="20"/>
        </w:rPr>
        <w:t>Duy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D78EC">
        <w:rPr>
          <w:rFonts w:ascii="Arial" w:hAnsi="Arial" w:cs="Arial"/>
          <w:color w:val="010000"/>
          <w:sz w:val="20"/>
        </w:rPr>
        <w:t>Hien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, member of the Board of Directors, Company </w:t>
      </w:r>
      <w:r w:rsidR="00884B4B" w:rsidRPr="00AD78EC">
        <w:rPr>
          <w:rFonts w:ascii="Arial" w:hAnsi="Arial" w:cs="Arial"/>
          <w:color w:val="010000"/>
          <w:sz w:val="20"/>
        </w:rPr>
        <w:t>Manager</w:t>
      </w:r>
      <w:r w:rsidRPr="00AD78EC">
        <w:rPr>
          <w:rFonts w:ascii="Arial" w:hAnsi="Arial" w:cs="Arial"/>
          <w:color w:val="010000"/>
          <w:sz w:val="20"/>
        </w:rPr>
        <w:t>, Deputy Head of the Organizing Committee, Deputy Head of the Subcommittee;</w:t>
      </w:r>
    </w:p>
    <w:p w14:paraId="00000012" w14:textId="42009DDF" w:rsidR="00E12799" w:rsidRPr="00AD78EC" w:rsidRDefault="00851EEE" w:rsidP="003954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Do Thi Thuy, </w:t>
      </w:r>
      <w:r w:rsidR="00884B4B" w:rsidRPr="00AD78EC">
        <w:rPr>
          <w:rFonts w:ascii="Arial" w:hAnsi="Arial" w:cs="Arial"/>
          <w:color w:val="010000"/>
          <w:sz w:val="20"/>
        </w:rPr>
        <w:t>Chief</w:t>
      </w:r>
      <w:r w:rsidRPr="00AD78EC">
        <w:rPr>
          <w:rFonts w:ascii="Arial" w:hAnsi="Arial" w:cs="Arial"/>
          <w:color w:val="010000"/>
          <w:sz w:val="20"/>
        </w:rPr>
        <w:t xml:space="preserve"> of the Supervisory Board, Deputy Head of the Organization and Administration Department, member of the Subcommittee;</w:t>
      </w:r>
    </w:p>
    <w:p w14:paraId="00000013" w14:textId="77777777" w:rsidR="00E12799" w:rsidRPr="00AD78EC" w:rsidRDefault="00851EEE" w:rsidP="003954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Mr. Pham Minh Tuan, member of the Board of Directors, Chief Accountant, member of the Subcommittee;</w:t>
      </w:r>
    </w:p>
    <w:p w14:paraId="00000014" w14:textId="0099FD66" w:rsidR="00E12799" w:rsidRPr="00AD78EC" w:rsidRDefault="00851EEE" w:rsidP="003954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lastRenderedPageBreak/>
        <w:t xml:space="preserve">Mr. Nguyen Ngoc </w:t>
      </w:r>
      <w:proofErr w:type="spellStart"/>
      <w:r w:rsidRPr="00AD78EC">
        <w:rPr>
          <w:rFonts w:ascii="Arial" w:hAnsi="Arial" w:cs="Arial"/>
          <w:color w:val="010000"/>
          <w:sz w:val="20"/>
        </w:rPr>
        <w:t>Toan</w:t>
      </w:r>
      <w:proofErr w:type="spellEnd"/>
      <w:r w:rsidRPr="00AD78EC">
        <w:rPr>
          <w:rFonts w:ascii="Arial" w:hAnsi="Arial" w:cs="Arial"/>
          <w:color w:val="010000"/>
          <w:sz w:val="20"/>
        </w:rPr>
        <w:t>, Company Secretar</w:t>
      </w:r>
      <w:r w:rsidR="00884B4B" w:rsidRPr="00AD78EC">
        <w:rPr>
          <w:rFonts w:ascii="Arial" w:hAnsi="Arial" w:cs="Arial"/>
          <w:color w:val="010000"/>
          <w:sz w:val="20"/>
        </w:rPr>
        <w:t>iat</w:t>
      </w:r>
      <w:r w:rsidRPr="00AD78EC">
        <w:rPr>
          <w:rFonts w:ascii="Arial" w:hAnsi="Arial" w:cs="Arial"/>
          <w:color w:val="010000"/>
          <w:sz w:val="20"/>
        </w:rPr>
        <w:t>, Head of Organization and Administration Department, member of the Subcommittee.</w:t>
      </w:r>
    </w:p>
    <w:p w14:paraId="00000015" w14:textId="2E9AD041" w:rsidR="00E12799" w:rsidRPr="00AD78EC" w:rsidRDefault="00851EEE" w:rsidP="003954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Reception Subcommittee, including:</w:t>
      </w:r>
    </w:p>
    <w:p w14:paraId="00000016" w14:textId="77777777" w:rsidR="00E12799" w:rsidRPr="00AD78EC" w:rsidRDefault="00851EEE" w:rsidP="00395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Tran </w:t>
      </w:r>
      <w:proofErr w:type="spellStart"/>
      <w:r w:rsidRPr="00AD78EC">
        <w:rPr>
          <w:rFonts w:ascii="Arial" w:hAnsi="Arial" w:cs="Arial"/>
          <w:color w:val="010000"/>
          <w:sz w:val="20"/>
        </w:rPr>
        <w:t>Xuan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Huyen, Member of the Board of Directors, Deputy Manager and Head of Sales and Services Department, Head of the Subcommittee;</w:t>
      </w:r>
    </w:p>
    <w:p w14:paraId="00000017" w14:textId="4F33C0C3" w:rsidR="00E12799" w:rsidRPr="00AD78EC" w:rsidRDefault="00851EEE" w:rsidP="00395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Do Thi Thuy, </w:t>
      </w:r>
      <w:r w:rsidR="00AD78EC" w:rsidRPr="00AD78EC">
        <w:rPr>
          <w:rFonts w:ascii="Arial" w:hAnsi="Arial" w:cs="Arial"/>
          <w:color w:val="010000"/>
          <w:sz w:val="20"/>
        </w:rPr>
        <w:t xml:space="preserve">Chief </w:t>
      </w:r>
      <w:r w:rsidRPr="00AD78EC">
        <w:rPr>
          <w:rFonts w:ascii="Arial" w:hAnsi="Arial" w:cs="Arial"/>
          <w:color w:val="010000"/>
          <w:sz w:val="20"/>
        </w:rPr>
        <w:t>of the Supervisory Board, Deputy Head of the Organization and Administration Department, Deputy Head of the Subcommittee;</w:t>
      </w:r>
    </w:p>
    <w:p w14:paraId="00000018" w14:textId="77777777" w:rsidR="00E12799" w:rsidRPr="00AD78EC" w:rsidRDefault="00851EEE" w:rsidP="00395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Dinh Thi Duc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Supervisory Board, Officer of the Accounting and Finance Department, member of the Committee;</w:t>
      </w:r>
    </w:p>
    <w:p w14:paraId="00000019" w14:textId="77777777" w:rsidR="00E12799" w:rsidRPr="00AD78EC" w:rsidRDefault="00851EEE" w:rsidP="00395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</w:t>
      </w:r>
      <w:proofErr w:type="spellStart"/>
      <w:r w:rsidRPr="00AD78EC">
        <w:rPr>
          <w:rFonts w:ascii="Arial" w:hAnsi="Arial" w:cs="Arial"/>
          <w:color w:val="010000"/>
          <w:sz w:val="20"/>
        </w:rPr>
        <w:t>Nham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Thi Hong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Supervisory Board, Officer of the Sales and Services Department, member of the Committee;</w:t>
      </w:r>
    </w:p>
    <w:p w14:paraId="0000001A" w14:textId="77777777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‎‎Article 3. The Organizing Committee and Subcommittees are responsible for:</w:t>
      </w:r>
    </w:p>
    <w:p w14:paraId="0000001B" w14:textId="77777777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Directing and organizing the implementation of work related to Thai </w:t>
      </w:r>
      <w:proofErr w:type="spellStart"/>
      <w:r w:rsidRPr="00AD78EC">
        <w:rPr>
          <w:rFonts w:ascii="Arial" w:hAnsi="Arial" w:cs="Arial"/>
          <w:color w:val="010000"/>
          <w:sz w:val="20"/>
        </w:rPr>
        <w:t>Binh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Environment And Urban Projects Joint Stock Company's Annual General Meeting of Shareholders 2024 according to the provisions of the Company's Charter on Organization and Operation and Law on Enterprises.</w:t>
      </w:r>
    </w:p>
    <w:p w14:paraId="0000001C" w14:textId="77777777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Requisitioning officials and employees of specialized departments and units participating in service work to complete assigned duties.</w:t>
      </w:r>
    </w:p>
    <w:p w14:paraId="0000001D" w14:textId="3508D0F7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The specific duties of the Subcommittees, members of the Organizing Committee, and members of the Subcommittees</w:t>
      </w:r>
      <w:r w:rsidR="00AD78EC" w:rsidRPr="00AD78EC">
        <w:rPr>
          <w:rFonts w:ascii="Arial" w:hAnsi="Arial" w:cs="Arial"/>
          <w:color w:val="010000"/>
          <w:sz w:val="20"/>
        </w:rPr>
        <w:t xml:space="preserve"> </w:t>
      </w:r>
      <w:r w:rsidRPr="00AD78EC">
        <w:rPr>
          <w:rFonts w:ascii="Arial" w:hAnsi="Arial" w:cs="Arial"/>
          <w:color w:val="010000"/>
          <w:sz w:val="20"/>
        </w:rPr>
        <w:t>assigned by the Head of the Organizing Committee.</w:t>
      </w:r>
    </w:p>
    <w:p w14:paraId="0000001E" w14:textId="389A34D8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Working on a </w:t>
      </w:r>
      <w:r w:rsidR="00AD78EC" w:rsidRPr="00AD78EC">
        <w:rPr>
          <w:rFonts w:ascii="Arial" w:hAnsi="Arial" w:cs="Arial"/>
          <w:color w:val="010000"/>
          <w:sz w:val="20"/>
        </w:rPr>
        <w:t>non-executive</w:t>
      </w:r>
      <w:r w:rsidRPr="00AD78EC">
        <w:rPr>
          <w:rFonts w:ascii="Arial" w:hAnsi="Arial" w:cs="Arial"/>
          <w:color w:val="010000"/>
          <w:sz w:val="20"/>
        </w:rPr>
        <w:t xml:space="preserve"> basis, self-dissolving and terminating their operations upon having successfully organized the Meeting.</w:t>
      </w:r>
    </w:p>
    <w:p w14:paraId="0000001F" w14:textId="7E369824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‎‎Article 4. This Decision takes effect </w:t>
      </w:r>
      <w:r w:rsidR="00AD78EC" w:rsidRPr="00AD78EC">
        <w:rPr>
          <w:rFonts w:ascii="Arial" w:hAnsi="Arial" w:cs="Arial"/>
          <w:color w:val="010000"/>
          <w:sz w:val="20"/>
        </w:rPr>
        <w:t>from</w:t>
      </w:r>
      <w:r w:rsidRPr="00AD78EC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20" w14:textId="269827C8" w:rsidR="00E12799" w:rsidRPr="00AD78EC" w:rsidRDefault="00851EEE" w:rsidP="003954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>Members of the Board of Directors, the Supervisory Board, the Board of Managers, Heads of related units and the individuals mentioned in Article 1 are responsible for implementing this Decision.</w:t>
      </w:r>
    </w:p>
    <w:p w14:paraId="363AF122" w14:textId="79DFEC5F" w:rsidR="00851EEE" w:rsidRPr="00AD78EC" w:rsidRDefault="00851EEE" w:rsidP="0039544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23" w14:textId="77777777" w:rsidR="00E12799" w:rsidRPr="00AD78EC" w:rsidRDefault="00851EEE" w:rsidP="0039544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On March 6, 2024, Thai </w:t>
      </w:r>
      <w:proofErr w:type="spellStart"/>
      <w:r w:rsidRPr="00AD78EC">
        <w:rPr>
          <w:rFonts w:ascii="Arial" w:hAnsi="Arial" w:cs="Arial"/>
          <w:color w:val="010000"/>
          <w:sz w:val="20"/>
        </w:rPr>
        <w:t>Binh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Environment And Urban Projects Joint Stock Company announced Decision No. 06/</w:t>
      </w:r>
      <w:proofErr w:type="spellStart"/>
      <w:r w:rsidRPr="00AD78EC">
        <w:rPr>
          <w:rFonts w:ascii="Arial" w:hAnsi="Arial" w:cs="Arial"/>
          <w:color w:val="010000"/>
          <w:sz w:val="20"/>
        </w:rPr>
        <w:t>QD-HDQT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on establishing a Shareholder's Eligibility Verification Committee for the Annual General Meeting of Shareholders 2024, as follows:</w:t>
      </w:r>
    </w:p>
    <w:p w14:paraId="00000024" w14:textId="77777777" w:rsidR="00E12799" w:rsidRPr="00AD78EC" w:rsidRDefault="00851EEE" w:rsidP="0039544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‎‎Article 1. Establish a Shareholder's Eligibility Verification Committee for Thai </w:t>
      </w:r>
      <w:proofErr w:type="spellStart"/>
      <w:r w:rsidRPr="00AD78EC">
        <w:rPr>
          <w:rFonts w:ascii="Arial" w:hAnsi="Arial" w:cs="Arial"/>
          <w:color w:val="010000"/>
          <w:sz w:val="20"/>
        </w:rPr>
        <w:t>Binh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Environment And Urban Projects Joint Stock Company’s Annual General Meeting of Shareholders 2024, including the following members:</w:t>
      </w:r>
    </w:p>
    <w:p w14:paraId="00000025" w14:textId="33970048" w:rsidR="00E12799" w:rsidRPr="00AD78EC" w:rsidRDefault="00851EEE" w:rsidP="00395440">
      <w:pPr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Do Thi Thuy, </w:t>
      </w:r>
      <w:r w:rsidR="00AD78EC" w:rsidRPr="00AD78EC">
        <w:rPr>
          <w:rFonts w:ascii="Arial" w:hAnsi="Arial" w:cs="Arial"/>
          <w:color w:val="010000"/>
          <w:sz w:val="20"/>
        </w:rPr>
        <w:t>Chief</w:t>
      </w:r>
      <w:r w:rsidRPr="00AD78EC">
        <w:rPr>
          <w:rFonts w:ascii="Arial" w:hAnsi="Arial" w:cs="Arial"/>
          <w:color w:val="010000"/>
          <w:sz w:val="20"/>
        </w:rPr>
        <w:t xml:space="preserve"> of the Supervisory Board, Deputy Head of the Organization and Administration Department, Head of the Committee;</w:t>
      </w:r>
    </w:p>
    <w:p w14:paraId="00000026" w14:textId="77777777" w:rsidR="00E12799" w:rsidRPr="00AD78EC" w:rsidRDefault="00851EEE" w:rsidP="00395440">
      <w:pPr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Mr. Pham Minh Tuan, member of the Board of Directors, Chief Accountant, member of the </w:t>
      </w:r>
      <w:r w:rsidRPr="00AD78EC">
        <w:rPr>
          <w:rFonts w:ascii="Arial" w:hAnsi="Arial" w:cs="Arial"/>
          <w:color w:val="010000"/>
          <w:sz w:val="20"/>
        </w:rPr>
        <w:lastRenderedPageBreak/>
        <w:t>Committee;</w:t>
      </w:r>
    </w:p>
    <w:p w14:paraId="00000027" w14:textId="77777777" w:rsidR="00E12799" w:rsidRPr="00AD78EC" w:rsidRDefault="00851EEE" w:rsidP="00395440">
      <w:pPr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Dinh Thi Duc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Supervisory Board, Officer of the Accounting and Finance Department, member of the Committee;</w:t>
      </w:r>
    </w:p>
    <w:p w14:paraId="00000028" w14:textId="77777777" w:rsidR="00E12799" w:rsidRPr="00AD78EC" w:rsidRDefault="00851EEE" w:rsidP="00395440">
      <w:pPr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 xml:space="preserve">Ms. </w:t>
      </w:r>
      <w:proofErr w:type="spellStart"/>
      <w:r w:rsidRPr="00AD78EC">
        <w:rPr>
          <w:rFonts w:ascii="Arial" w:hAnsi="Arial" w:cs="Arial"/>
          <w:color w:val="010000"/>
          <w:sz w:val="20"/>
        </w:rPr>
        <w:t>Nham</w:t>
      </w:r>
      <w:proofErr w:type="spellEnd"/>
      <w:r w:rsidRPr="00AD78EC">
        <w:rPr>
          <w:rFonts w:ascii="Arial" w:hAnsi="Arial" w:cs="Arial"/>
          <w:color w:val="010000"/>
          <w:sz w:val="20"/>
        </w:rPr>
        <w:t xml:space="preserve"> Thi Hong </w:t>
      </w:r>
      <w:proofErr w:type="spellStart"/>
      <w:r w:rsidRPr="00AD78EC">
        <w:rPr>
          <w:rFonts w:ascii="Arial" w:hAnsi="Arial" w:cs="Arial"/>
          <w:color w:val="010000"/>
          <w:sz w:val="20"/>
        </w:rPr>
        <w:t>Hanh</w:t>
      </w:r>
      <w:proofErr w:type="spellEnd"/>
      <w:r w:rsidRPr="00AD78EC">
        <w:rPr>
          <w:rFonts w:ascii="Arial" w:hAnsi="Arial" w:cs="Arial"/>
          <w:color w:val="010000"/>
          <w:sz w:val="20"/>
        </w:rPr>
        <w:t>, member of the Supervisory Board, Officer of the Sales and Services Department, member of the Committee;</w:t>
      </w:r>
    </w:p>
    <w:p w14:paraId="00000029" w14:textId="77777777" w:rsidR="00E12799" w:rsidRPr="00AD78EC" w:rsidRDefault="00851EEE" w:rsidP="0039544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‎‎Article 2. The Shareholder's Eligibility Verification Committee is responsible for:</w:t>
      </w:r>
    </w:p>
    <w:p w14:paraId="0000002A" w14:textId="55E253A4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>Receiving registration of related documents and verify</w:t>
      </w:r>
      <w:r w:rsidR="00395440" w:rsidRPr="00AD78EC">
        <w:rPr>
          <w:rFonts w:ascii="Arial" w:hAnsi="Arial" w:cs="Arial"/>
          <w:color w:val="010000"/>
          <w:sz w:val="20"/>
        </w:rPr>
        <w:t xml:space="preserve"> </w:t>
      </w:r>
      <w:r w:rsidRPr="00AD78EC">
        <w:rPr>
          <w:rFonts w:ascii="Arial" w:hAnsi="Arial" w:cs="Arial"/>
          <w:color w:val="010000"/>
          <w:sz w:val="20"/>
        </w:rPr>
        <w:t>the eligibility of shareholders or authorized representatives attending the Meeting;</w:t>
      </w:r>
    </w:p>
    <w:p w14:paraId="0000002B" w14:textId="77777777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>Issuing documents and voting cards to shareholders (shareholder representatives) who are eligible to attend the Meeting;</w:t>
      </w:r>
    </w:p>
    <w:p w14:paraId="0000002C" w14:textId="77777777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>Checking the conditions for organizing the Meeting according to the Law on Enterprises and the provisions of the Company's Charter on Organization and Operation;</w:t>
      </w:r>
    </w:p>
    <w:p w14:paraId="0000002D" w14:textId="30E75085" w:rsidR="00E12799" w:rsidRPr="00AD78EC" w:rsidRDefault="00851EEE" w:rsidP="00AD7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 xml:space="preserve">Preparing a </w:t>
      </w:r>
      <w:r w:rsidR="00AD78EC" w:rsidRPr="00AD78EC">
        <w:rPr>
          <w:rFonts w:ascii="Arial" w:hAnsi="Arial" w:cs="Arial"/>
          <w:color w:val="010000"/>
          <w:sz w:val="20"/>
        </w:rPr>
        <w:t>minutes</w:t>
      </w:r>
      <w:r w:rsidRPr="00AD78EC">
        <w:rPr>
          <w:rFonts w:ascii="Arial" w:hAnsi="Arial" w:cs="Arial"/>
          <w:color w:val="010000"/>
          <w:sz w:val="20"/>
        </w:rPr>
        <w:t xml:space="preserve"> of</w:t>
      </w:r>
      <w:r w:rsidR="00395440" w:rsidRPr="00AD78EC">
        <w:rPr>
          <w:rFonts w:ascii="Arial" w:hAnsi="Arial" w:cs="Arial"/>
          <w:color w:val="010000"/>
          <w:sz w:val="20"/>
        </w:rPr>
        <w:t xml:space="preserve"> </w:t>
      </w:r>
      <w:r w:rsidRPr="00AD78EC">
        <w:rPr>
          <w:rFonts w:ascii="Arial" w:hAnsi="Arial" w:cs="Arial"/>
          <w:color w:val="010000"/>
          <w:sz w:val="20"/>
        </w:rPr>
        <w:t>verifying shareholder’s eligibility according to regulations and report the results of the verification to the Meeting;</w:t>
      </w:r>
    </w:p>
    <w:p w14:paraId="0000002E" w14:textId="77777777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>Requisitioning officials and employees from specialized departments and units participating in service work to complete assigned duties;</w:t>
      </w:r>
    </w:p>
    <w:p w14:paraId="0000002F" w14:textId="060A6D89" w:rsidR="00E12799" w:rsidRPr="00AD78EC" w:rsidRDefault="00851EEE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 xml:space="preserve">The specific duties of each member of </w:t>
      </w:r>
      <w:r w:rsidR="00AD78EC" w:rsidRPr="00AD78EC">
        <w:rPr>
          <w:rFonts w:ascii="Arial" w:hAnsi="Arial" w:cs="Arial"/>
          <w:color w:val="010000"/>
          <w:sz w:val="20"/>
        </w:rPr>
        <w:t xml:space="preserve">the </w:t>
      </w:r>
      <w:r w:rsidRPr="00AD78EC">
        <w:rPr>
          <w:rFonts w:ascii="Arial" w:hAnsi="Arial" w:cs="Arial"/>
          <w:color w:val="010000"/>
          <w:sz w:val="20"/>
        </w:rPr>
        <w:t>Shareholder’s Eligibility Verification Committee assigned by the Head of the Committee.</w:t>
      </w:r>
    </w:p>
    <w:p w14:paraId="00000030" w14:textId="492EA0D6" w:rsidR="00E12799" w:rsidRPr="00AD78EC" w:rsidRDefault="00AD78EC" w:rsidP="00395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D78EC">
        <w:rPr>
          <w:rFonts w:ascii="Arial" w:hAnsi="Arial" w:cs="Arial"/>
          <w:color w:val="010000"/>
          <w:sz w:val="20"/>
        </w:rPr>
        <w:t xml:space="preserve">The Shareholder’s Eligibility Verification Committee shall </w:t>
      </w:r>
      <w:r w:rsidR="00851EEE" w:rsidRPr="00AD78EC">
        <w:rPr>
          <w:rFonts w:ascii="Arial" w:hAnsi="Arial" w:cs="Arial"/>
          <w:color w:val="010000"/>
          <w:sz w:val="20"/>
        </w:rPr>
        <w:t>self-dissolv</w:t>
      </w:r>
      <w:r w:rsidRPr="00AD78EC">
        <w:rPr>
          <w:rFonts w:ascii="Arial" w:hAnsi="Arial" w:cs="Arial"/>
          <w:color w:val="010000"/>
          <w:sz w:val="20"/>
        </w:rPr>
        <w:t>e</w:t>
      </w:r>
      <w:r w:rsidR="00851EEE" w:rsidRPr="00AD78EC">
        <w:rPr>
          <w:rFonts w:ascii="Arial" w:hAnsi="Arial" w:cs="Arial"/>
          <w:color w:val="010000"/>
          <w:sz w:val="20"/>
        </w:rPr>
        <w:t xml:space="preserve"> and terminat</w:t>
      </w:r>
      <w:r w:rsidRPr="00AD78EC">
        <w:rPr>
          <w:rFonts w:ascii="Arial" w:hAnsi="Arial" w:cs="Arial"/>
          <w:color w:val="010000"/>
          <w:sz w:val="20"/>
        </w:rPr>
        <w:t>e the</w:t>
      </w:r>
      <w:r w:rsidR="00851EEE" w:rsidRPr="00AD78EC">
        <w:rPr>
          <w:rFonts w:ascii="Arial" w:hAnsi="Arial" w:cs="Arial"/>
          <w:color w:val="010000"/>
          <w:sz w:val="20"/>
        </w:rPr>
        <w:t xml:space="preserve"> operations upon having successfully organized the Meeting.</w:t>
      </w:r>
    </w:p>
    <w:p w14:paraId="00000031" w14:textId="77777777" w:rsidR="00E12799" w:rsidRPr="00AD78EC" w:rsidRDefault="00851EEE" w:rsidP="0039544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‎‎Article 3. This Decision takes effect from the date of its signing.</w:t>
      </w:r>
    </w:p>
    <w:p w14:paraId="00000032" w14:textId="00072BED" w:rsidR="00E12799" w:rsidRPr="00AD78EC" w:rsidRDefault="00851EEE" w:rsidP="0039544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78EC">
        <w:rPr>
          <w:rFonts w:ascii="Arial" w:hAnsi="Arial" w:cs="Arial"/>
          <w:color w:val="010000"/>
          <w:sz w:val="20"/>
        </w:rPr>
        <w:t>The Organizing Committee of the Annual General Meeting of Shareholders 2024, members mentioned in</w:t>
      </w:r>
      <w:r w:rsidR="00395440" w:rsidRPr="00AD78EC">
        <w:rPr>
          <w:rFonts w:ascii="Arial" w:hAnsi="Arial" w:cs="Arial"/>
          <w:color w:val="010000"/>
          <w:sz w:val="20"/>
        </w:rPr>
        <w:t xml:space="preserve"> </w:t>
      </w:r>
      <w:r w:rsidRPr="00AD78EC">
        <w:rPr>
          <w:rFonts w:ascii="Arial" w:hAnsi="Arial" w:cs="Arial"/>
          <w:color w:val="010000"/>
          <w:sz w:val="20"/>
        </w:rPr>
        <w:t>Article 1, and relevant units are responsible for implementing this Decision.</w:t>
      </w:r>
    </w:p>
    <w:sectPr w:rsidR="00E12799" w:rsidRPr="00AD78EC" w:rsidSect="0039544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B1062"/>
    <w:multiLevelType w:val="multilevel"/>
    <w:tmpl w:val="58D424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2C36F9"/>
    <w:multiLevelType w:val="multilevel"/>
    <w:tmpl w:val="C25E12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1217"/>
    <w:multiLevelType w:val="multilevel"/>
    <w:tmpl w:val="1EEA58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11F1456"/>
    <w:multiLevelType w:val="multilevel"/>
    <w:tmpl w:val="BB8210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8A7854"/>
    <w:multiLevelType w:val="multilevel"/>
    <w:tmpl w:val="140EA5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240EF7"/>
    <w:multiLevelType w:val="multilevel"/>
    <w:tmpl w:val="8AC63B7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9"/>
    <w:rsid w:val="00180673"/>
    <w:rsid w:val="00395440"/>
    <w:rsid w:val="00851EEE"/>
    <w:rsid w:val="00884B4B"/>
    <w:rsid w:val="00AD78EC"/>
    <w:rsid w:val="00E12799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EF05E"/>
  <w15:docId w15:val="{D262EF02-6338-40E7-8A15-7801BAB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6" w:lineRule="auto"/>
      <w:ind w:left="19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MNkv9FIfRXm2jVQSDERaf6wyg==">CgMxLjA4AHIhMVNGRzVUVHVvQkR1aEI1UGV2RThsZmpzaG1QSE5yYXYx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2024-03-11T04:31:00Z</dcterms:created>
  <dcterms:modified xsi:type="dcterms:W3CDTF">2024-03-11T04:31:00Z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6ffff9002e95a6887b102264d1d9811fcf8a06575ef5e91f8d1db99e79b9bb4a</vt:lpwstr>
  </property>
</Properties>
</file>