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AC5D" w14:textId="77777777" w:rsidR="00CA0F65" w:rsidRPr="008A7E5C" w:rsidRDefault="0090786C" w:rsidP="0090786C">
      <w:pPr>
        <w:pBdr>
          <w:top w:val="nil"/>
          <w:left w:val="nil"/>
          <w:bottom w:val="nil"/>
          <w:right w:val="nil"/>
          <w:between w:val="nil"/>
        </w:pBdr>
        <w:tabs>
          <w:tab w:val="left" w:pos="417"/>
        </w:tabs>
        <w:spacing w:after="120" w:line="360" w:lineRule="auto"/>
        <w:rPr>
          <w:rFonts w:ascii="Arial" w:eastAsia="Arial" w:hAnsi="Arial" w:cs="Arial"/>
          <w:b/>
          <w:color w:val="010000"/>
          <w:sz w:val="20"/>
          <w:szCs w:val="20"/>
        </w:rPr>
      </w:pPr>
      <w:r w:rsidRPr="008A7E5C">
        <w:rPr>
          <w:rFonts w:ascii="Arial" w:hAnsi="Arial" w:cs="Arial"/>
          <w:b/>
          <w:color w:val="010000"/>
          <w:sz w:val="20"/>
        </w:rPr>
        <w:t>PGB: Report on the results of share issuance to increase capital from the source of owners' equity</w:t>
      </w:r>
    </w:p>
    <w:p w14:paraId="1E785FDA" w14:textId="77777777" w:rsidR="00CA0F65" w:rsidRPr="008A7E5C" w:rsidRDefault="0090786C" w:rsidP="0090786C">
      <w:pPr>
        <w:pBdr>
          <w:top w:val="nil"/>
          <w:left w:val="nil"/>
          <w:bottom w:val="nil"/>
          <w:right w:val="nil"/>
          <w:between w:val="nil"/>
        </w:pBdr>
        <w:tabs>
          <w:tab w:val="left" w:pos="417"/>
        </w:tabs>
        <w:spacing w:after="120" w:line="360" w:lineRule="auto"/>
        <w:rPr>
          <w:rFonts w:ascii="Arial" w:eastAsia="Arial" w:hAnsi="Arial" w:cs="Arial"/>
          <w:color w:val="010000"/>
          <w:sz w:val="20"/>
          <w:szCs w:val="20"/>
        </w:rPr>
      </w:pPr>
      <w:r w:rsidRPr="008A7E5C">
        <w:rPr>
          <w:rFonts w:ascii="Arial" w:hAnsi="Arial" w:cs="Arial"/>
          <w:color w:val="010000"/>
          <w:sz w:val="20"/>
        </w:rPr>
        <w:t xml:space="preserve">On March 5, 2024, Prosperity and Growth Commercial Joint Stock Bank announced Report No. 321/2024/CV-PGB on the results of share issuance to increase share capital from the owners’ equity as follows: </w:t>
      </w:r>
    </w:p>
    <w:p w14:paraId="0B01EF89" w14:textId="77777777" w:rsidR="00CA0F65" w:rsidRPr="008A7E5C" w:rsidRDefault="0090786C" w:rsidP="0090786C">
      <w:pPr>
        <w:numPr>
          <w:ilvl w:val="0"/>
          <w:numId w:val="5"/>
        </w:numPr>
        <w:pBdr>
          <w:top w:val="nil"/>
          <w:left w:val="nil"/>
          <w:bottom w:val="nil"/>
          <w:right w:val="nil"/>
          <w:between w:val="nil"/>
        </w:pBdr>
        <w:tabs>
          <w:tab w:val="left" w:pos="423"/>
        </w:tabs>
        <w:spacing w:after="120" w:line="360" w:lineRule="auto"/>
        <w:rPr>
          <w:rFonts w:ascii="Arial" w:eastAsia="Arial" w:hAnsi="Arial" w:cs="Arial"/>
          <w:color w:val="010000"/>
          <w:sz w:val="20"/>
          <w:szCs w:val="20"/>
        </w:rPr>
      </w:pPr>
      <w:r w:rsidRPr="008A7E5C">
        <w:rPr>
          <w:rFonts w:ascii="Arial" w:hAnsi="Arial" w:cs="Arial"/>
          <w:color w:val="010000"/>
          <w:sz w:val="20"/>
        </w:rPr>
        <w:t>Issuance plan</w:t>
      </w:r>
    </w:p>
    <w:p w14:paraId="644F1D3B"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Share name: Shares of Prosperity and Growth Commercial Joint Stock Bank.</w:t>
      </w:r>
    </w:p>
    <w:p w14:paraId="4A213EB1"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Share type: common share.</w:t>
      </w:r>
    </w:p>
    <w:p w14:paraId="786EF978"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Number of shares before issuance: 300,000,000 shares.</w:t>
      </w:r>
    </w:p>
    <w:p w14:paraId="54656362" w14:textId="77777777" w:rsidR="00CA0F65" w:rsidRPr="008A7E5C" w:rsidRDefault="0090786C" w:rsidP="0090786C">
      <w:pPr>
        <w:numPr>
          <w:ilvl w:val="0"/>
          <w:numId w:val="6"/>
        </w:numPr>
        <w:pBdr>
          <w:top w:val="nil"/>
          <w:left w:val="nil"/>
          <w:bottom w:val="nil"/>
          <w:right w:val="nil"/>
          <w:between w:val="nil"/>
        </w:pBdr>
        <w:tabs>
          <w:tab w:val="left" w:pos="781"/>
        </w:tabs>
        <w:spacing w:after="120" w:line="360" w:lineRule="auto"/>
        <w:rPr>
          <w:rFonts w:ascii="Arial" w:eastAsia="Arial" w:hAnsi="Arial" w:cs="Arial"/>
          <w:color w:val="010000"/>
          <w:sz w:val="20"/>
          <w:szCs w:val="20"/>
        </w:rPr>
      </w:pPr>
      <w:r w:rsidRPr="008A7E5C">
        <w:rPr>
          <w:rFonts w:ascii="Arial" w:hAnsi="Arial" w:cs="Arial"/>
          <w:color w:val="010000"/>
          <w:sz w:val="20"/>
        </w:rPr>
        <w:t>Total number of issued shares: 300,000,000 shares.</w:t>
      </w:r>
    </w:p>
    <w:p w14:paraId="191D4E05" w14:textId="77777777" w:rsidR="008A7E5C" w:rsidRPr="008A7E5C" w:rsidRDefault="0090786C" w:rsidP="0090786C">
      <w:pPr>
        <w:numPr>
          <w:ilvl w:val="0"/>
          <w:numId w:val="6"/>
        </w:numPr>
        <w:pBdr>
          <w:top w:val="nil"/>
          <w:left w:val="nil"/>
          <w:bottom w:val="nil"/>
          <w:right w:val="nil"/>
          <w:between w:val="nil"/>
        </w:pBdr>
        <w:tabs>
          <w:tab w:val="left" w:pos="781"/>
        </w:tabs>
        <w:spacing w:after="120" w:line="360" w:lineRule="auto"/>
        <w:rPr>
          <w:rFonts w:ascii="Arial" w:eastAsia="Arial" w:hAnsi="Arial" w:cs="Arial"/>
          <w:color w:val="010000"/>
          <w:sz w:val="20"/>
          <w:szCs w:val="20"/>
        </w:rPr>
      </w:pPr>
      <w:r w:rsidRPr="008A7E5C">
        <w:rPr>
          <w:rFonts w:ascii="Arial" w:hAnsi="Arial" w:cs="Arial"/>
          <w:color w:val="010000"/>
          <w:sz w:val="20"/>
        </w:rPr>
        <w:t>Number of outstanding shares: 300,000,000 shares.</w:t>
      </w:r>
    </w:p>
    <w:p w14:paraId="50A28AEE" w14:textId="71D525F0" w:rsidR="00CA0F65" w:rsidRPr="008A7E5C" w:rsidRDefault="0090786C" w:rsidP="0090786C">
      <w:pPr>
        <w:numPr>
          <w:ilvl w:val="0"/>
          <w:numId w:val="6"/>
        </w:numPr>
        <w:pBdr>
          <w:top w:val="nil"/>
          <w:left w:val="nil"/>
          <w:bottom w:val="nil"/>
          <w:right w:val="nil"/>
          <w:between w:val="nil"/>
        </w:pBdr>
        <w:tabs>
          <w:tab w:val="left" w:pos="781"/>
        </w:tabs>
        <w:spacing w:after="120" w:line="360" w:lineRule="auto"/>
        <w:rPr>
          <w:rFonts w:ascii="Arial" w:eastAsia="Arial" w:hAnsi="Arial" w:cs="Arial"/>
          <w:color w:val="010000"/>
          <w:sz w:val="20"/>
          <w:szCs w:val="20"/>
        </w:rPr>
      </w:pPr>
      <w:r w:rsidRPr="008A7E5C">
        <w:rPr>
          <w:rFonts w:ascii="Arial" w:hAnsi="Arial" w:cs="Arial"/>
          <w:color w:val="010000"/>
          <w:sz w:val="20"/>
        </w:rPr>
        <w:t>Number of treasury shares: 0 shares.</w:t>
      </w:r>
    </w:p>
    <w:p w14:paraId="06B8AE9F"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Number of shares expected to be issued: 120,000,000 shares.</w:t>
      </w:r>
    </w:p>
    <w:p w14:paraId="760FBB49"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Rights exercise rate: 10:4, accordingly, at the record date for the list of shareholders to exercise their rights, shareholders owning 01 share will be entitled to 01 rights to receive, for every 10 rights to receive, shareholders will receive 04 newly issued shares according to the principle of rounding down to the unit.</w:t>
      </w:r>
    </w:p>
    <w:p w14:paraId="5490E232"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Capital source for the issuance: From accumulated undistributed profit after tax and reserve fund to supplement charter capital based on the Audited Financial Statements 2022, specifically:</w:t>
      </w:r>
    </w:p>
    <w:p w14:paraId="5542699C"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2539"/>
        <w:gridCol w:w="2137"/>
        <w:gridCol w:w="2041"/>
        <w:gridCol w:w="1542"/>
      </w:tblGrid>
      <w:tr w:rsidR="00CA0F65" w:rsidRPr="008A7E5C" w14:paraId="2CAE3940" w14:textId="77777777" w:rsidTr="0090786C">
        <w:tc>
          <w:tcPr>
            <w:tcW w:w="420" w:type="pct"/>
            <w:shd w:val="clear" w:color="auto" w:fill="auto"/>
            <w:tcMar>
              <w:top w:w="0" w:type="dxa"/>
              <w:bottom w:w="0" w:type="dxa"/>
            </w:tcMar>
            <w:vAlign w:val="center"/>
          </w:tcPr>
          <w:p w14:paraId="6FDA7084"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No.</w:t>
            </w:r>
          </w:p>
        </w:tc>
        <w:tc>
          <w:tcPr>
            <w:tcW w:w="1408" w:type="pct"/>
            <w:shd w:val="clear" w:color="auto" w:fill="auto"/>
            <w:tcMar>
              <w:top w:w="0" w:type="dxa"/>
              <w:bottom w:w="0" w:type="dxa"/>
            </w:tcMar>
            <w:vAlign w:val="center"/>
          </w:tcPr>
          <w:p w14:paraId="2A1B78E8"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Item</w:t>
            </w:r>
          </w:p>
        </w:tc>
        <w:tc>
          <w:tcPr>
            <w:tcW w:w="1185" w:type="pct"/>
            <w:shd w:val="clear" w:color="auto" w:fill="auto"/>
            <w:tcMar>
              <w:top w:w="0" w:type="dxa"/>
              <w:bottom w:w="0" w:type="dxa"/>
            </w:tcMar>
            <w:vAlign w:val="center"/>
          </w:tcPr>
          <w:p w14:paraId="7AFA26FB"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 xml:space="preserve">Figures as of December 31, 2022 according to the Independent Audited Financial Statements 2022 </w:t>
            </w:r>
          </w:p>
        </w:tc>
        <w:tc>
          <w:tcPr>
            <w:tcW w:w="1132" w:type="pct"/>
            <w:shd w:val="clear" w:color="auto" w:fill="auto"/>
            <w:tcMar>
              <w:top w:w="0" w:type="dxa"/>
              <w:bottom w:w="0" w:type="dxa"/>
            </w:tcMar>
            <w:vAlign w:val="center"/>
          </w:tcPr>
          <w:p w14:paraId="69B66F0E"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Figures as of June 30, 2023 according to the Semi-annual Reviewed Financial Statements 2023</w:t>
            </w:r>
          </w:p>
        </w:tc>
        <w:tc>
          <w:tcPr>
            <w:tcW w:w="855" w:type="pct"/>
            <w:shd w:val="clear" w:color="auto" w:fill="auto"/>
            <w:tcMar>
              <w:top w:w="0" w:type="dxa"/>
              <w:bottom w:w="0" w:type="dxa"/>
            </w:tcMar>
            <w:vAlign w:val="center"/>
          </w:tcPr>
          <w:p w14:paraId="16CF604D"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Amount used for increasing charter capital</w:t>
            </w:r>
          </w:p>
        </w:tc>
      </w:tr>
      <w:tr w:rsidR="00CA0F65" w:rsidRPr="008A7E5C" w14:paraId="3ED93BD2" w14:textId="77777777" w:rsidTr="0090786C">
        <w:tc>
          <w:tcPr>
            <w:tcW w:w="420" w:type="pct"/>
            <w:shd w:val="clear" w:color="auto" w:fill="auto"/>
            <w:tcMar>
              <w:top w:w="0" w:type="dxa"/>
              <w:bottom w:w="0" w:type="dxa"/>
            </w:tcMar>
            <w:vAlign w:val="center"/>
          </w:tcPr>
          <w:p w14:paraId="32D70678"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w:t>
            </w:r>
          </w:p>
        </w:tc>
        <w:tc>
          <w:tcPr>
            <w:tcW w:w="1408" w:type="pct"/>
            <w:shd w:val="clear" w:color="auto" w:fill="auto"/>
            <w:tcMar>
              <w:top w:w="0" w:type="dxa"/>
              <w:bottom w:w="0" w:type="dxa"/>
            </w:tcMar>
            <w:vAlign w:val="center"/>
          </w:tcPr>
          <w:p w14:paraId="7E200899"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Accumulated undistributed profit</w:t>
            </w:r>
          </w:p>
        </w:tc>
        <w:tc>
          <w:tcPr>
            <w:tcW w:w="1185" w:type="pct"/>
            <w:shd w:val="clear" w:color="auto" w:fill="auto"/>
            <w:tcMar>
              <w:top w:w="0" w:type="dxa"/>
              <w:bottom w:w="0" w:type="dxa"/>
            </w:tcMar>
            <w:vAlign w:val="center"/>
          </w:tcPr>
          <w:p w14:paraId="2DF6E213"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1,266,809</w:t>
            </w:r>
          </w:p>
        </w:tc>
        <w:tc>
          <w:tcPr>
            <w:tcW w:w="1132" w:type="pct"/>
            <w:shd w:val="clear" w:color="auto" w:fill="auto"/>
            <w:tcMar>
              <w:top w:w="0" w:type="dxa"/>
              <w:bottom w:w="0" w:type="dxa"/>
            </w:tcMar>
            <w:vAlign w:val="center"/>
          </w:tcPr>
          <w:p w14:paraId="734BBC8E"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1,436,092</w:t>
            </w:r>
          </w:p>
        </w:tc>
        <w:tc>
          <w:tcPr>
            <w:tcW w:w="855" w:type="pct"/>
            <w:shd w:val="clear" w:color="auto" w:fill="auto"/>
            <w:tcMar>
              <w:top w:w="0" w:type="dxa"/>
              <w:bottom w:w="0" w:type="dxa"/>
            </w:tcMar>
            <w:vAlign w:val="center"/>
          </w:tcPr>
          <w:p w14:paraId="3B8D82A1"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1,100,000</w:t>
            </w:r>
          </w:p>
        </w:tc>
      </w:tr>
      <w:tr w:rsidR="00CA0F65" w:rsidRPr="008A7E5C" w14:paraId="7D4C740A" w14:textId="77777777" w:rsidTr="0090786C">
        <w:tc>
          <w:tcPr>
            <w:tcW w:w="420" w:type="pct"/>
            <w:shd w:val="clear" w:color="auto" w:fill="auto"/>
            <w:tcMar>
              <w:top w:w="0" w:type="dxa"/>
              <w:bottom w:w="0" w:type="dxa"/>
            </w:tcMar>
            <w:vAlign w:val="center"/>
          </w:tcPr>
          <w:p w14:paraId="2ED8BF42"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2</w:t>
            </w:r>
          </w:p>
        </w:tc>
        <w:tc>
          <w:tcPr>
            <w:tcW w:w="1408" w:type="pct"/>
            <w:shd w:val="clear" w:color="auto" w:fill="auto"/>
            <w:tcMar>
              <w:top w:w="0" w:type="dxa"/>
              <w:bottom w:w="0" w:type="dxa"/>
            </w:tcMar>
            <w:vAlign w:val="center"/>
          </w:tcPr>
          <w:p w14:paraId="4C2E03E5"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Reserve fund for supplementing charter capital</w:t>
            </w:r>
          </w:p>
        </w:tc>
        <w:tc>
          <w:tcPr>
            <w:tcW w:w="1185" w:type="pct"/>
            <w:shd w:val="clear" w:color="auto" w:fill="auto"/>
            <w:tcMar>
              <w:top w:w="0" w:type="dxa"/>
              <w:bottom w:w="0" w:type="dxa"/>
            </w:tcMar>
            <w:vAlign w:val="center"/>
          </w:tcPr>
          <w:p w14:paraId="1C583585"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107,417</w:t>
            </w:r>
          </w:p>
        </w:tc>
        <w:tc>
          <w:tcPr>
            <w:tcW w:w="1132" w:type="pct"/>
            <w:shd w:val="clear" w:color="auto" w:fill="auto"/>
            <w:tcMar>
              <w:top w:w="0" w:type="dxa"/>
              <w:bottom w:w="0" w:type="dxa"/>
            </w:tcMar>
            <w:vAlign w:val="center"/>
          </w:tcPr>
          <w:p w14:paraId="7F09F42C"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127,601</w:t>
            </w:r>
          </w:p>
        </w:tc>
        <w:tc>
          <w:tcPr>
            <w:tcW w:w="855" w:type="pct"/>
            <w:shd w:val="clear" w:color="auto" w:fill="auto"/>
            <w:tcMar>
              <w:top w:w="0" w:type="dxa"/>
              <w:bottom w:w="0" w:type="dxa"/>
            </w:tcMar>
            <w:vAlign w:val="center"/>
          </w:tcPr>
          <w:p w14:paraId="3BE9396A"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100,000</w:t>
            </w:r>
          </w:p>
        </w:tc>
      </w:tr>
      <w:tr w:rsidR="00CA0F65" w:rsidRPr="008A7E5C" w14:paraId="215ED855" w14:textId="77777777" w:rsidTr="0090786C">
        <w:tc>
          <w:tcPr>
            <w:tcW w:w="420" w:type="pct"/>
            <w:shd w:val="clear" w:color="auto" w:fill="auto"/>
            <w:tcMar>
              <w:top w:w="0" w:type="dxa"/>
              <w:bottom w:w="0" w:type="dxa"/>
            </w:tcMar>
            <w:vAlign w:val="center"/>
          </w:tcPr>
          <w:p w14:paraId="790CB058"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3</w:t>
            </w:r>
          </w:p>
        </w:tc>
        <w:tc>
          <w:tcPr>
            <w:tcW w:w="1408" w:type="pct"/>
            <w:shd w:val="clear" w:color="auto" w:fill="auto"/>
            <w:tcMar>
              <w:top w:w="0" w:type="dxa"/>
              <w:bottom w:w="0" w:type="dxa"/>
            </w:tcMar>
            <w:vAlign w:val="center"/>
          </w:tcPr>
          <w:p w14:paraId="76D624F7"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Investment and development fund</w:t>
            </w:r>
          </w:p>
        </w:tc>
        <w:tc>
          <w:tcPr>
            <w:tcW w:w="1185" w:type="pct"/>
            <w:shd w:val="clear" w:color="auto" w:fill="auto"/>
            <w:tcMar>
              <w:top w:w="0" w:type="dxa"/>
              <w:bottom w:w="0" w:type="dxa"/>
            </w:tcMar>
            <w:vAlign w:val="center"/>
          </w:tcPr>
          <w:p w14:paraId="10550175"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650</w:t>
            </w:r>
          </w:p>
        </w:tc>
        <w:tc>
          <w:tcPr>
            <w:tcW w:w="1132" w:type="pct"/>
            <w:shd w:val="clear" w:color="auto" w:fill="auto"/>
            <w:tcMar>
              <w:top w:w="0" w:type="dxa"/>
              <w:bottom w:w="0" w:type="dxa"/>
            </w:tcMar>
            <w:vAlign w:val="center"/>
          </w:tcPr>
          <w:p w14:paraId="2825A45F"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650</w:t>
            </w:r>
          </w:p>
        </w:tc>
        <w:tc>
          <w:tcPr>
            <w:tcW w:w="855" w:type="pct"/>
            <w:shd w:val="clear" w:color="auto" w:fill="auto"/>
            <w:tcMar>
              <w:top w:w="0" w:type="dxa"/>
              <w:bottom w:w="0" w:type="dxa"/>
            </w:tcMar>
            <w:vAlign w:val="center"/>
          </w:tcPr>
          <w:p w14:paraId="471F9333"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0</w:t>
            </w:r>
          </w:p>
        </w:tc>
      </w:tr>
      <w:tr w:rsidR="00CA0F65" w:rsidRPr="008A7E5C" w14:paraId="722F338C" w14:textId="77777777" w:rsidTr="0090786C">
        <w:tc>
          <w:tcPr>
            <w:tcW w:w="420" w:type="pct"/>
            <w:shd w:val="clear" w:color="auto" w:fill="auto"/>
            <w:tcMar>
              <w:top w:w="0" w:type="dxa"/>
              <w:bottom w:w="0" w:type="dxa"/>
            </w:tcMar>
            <w:vAlign w:val="center"/>
          </w:tcPr>
          <w:p w14:paraId="4E9DEF53"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4</w:t>
            </w:r>
          </w:p>
        </w:tc>
        <w:tc>
          <w:tcPr>
            <w:tcW w:w="1408" w:type="pct"/>
            <w:shd w:val="clear" w:color="auto" w:fill="auto"/>
            <w:tcMar>
              <w:top w:w="0" w:type="dxa"/>
              <w:bottom w:w="0" w:type="dxa"/>
            </w:tcMar>
            <w:vAlign w:val="center"/>
          </w:tcPr>
          <w:p w14:paraId="1BF310B5"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Financial reserve fund</w:t>
            </w:r>
          </w:p>
        </w:tc>
        <w:tc>
          <w:tcPr>
            <w:tcW w:w="1185" w:type="pct"/>
            <w:shd w:val="clear" w:color="auto" w:fill="auto"/>
            <w:tcMar>
              <w:top w:w="0" w:type="dxa"/>
              <w:bottom w:w="0" w:type="dxa"/>
            </w:tcMar>
            <w:vAlign w:val="center"/>
          </w:tcPr>
          <w:p w14:paraId="56D4A327"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209,652</w:t>
            </w:r>
          </w:p>
        </w:tc>
        <w:tc>
          <w:tcPr>
            <w:tcW w:w="1132" w:type="pct"/>
            <w:shd w:val="clear" w:color="auto" w:fill="auto"/>
            <w:tcMar>
              <w:top w:w="0" w:type="dxa"/>
              <w:bottom w:w="0" w:type="dxa"/>
            </w:tcMar>
            <w:vAlign w:val="center"/>
          </w:tcPr>
          <w:p w14:paraId="3684003C"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250,020</w:t>
            </w:r>
          </w:p>
        </w:tc>
        <w:tc>
          <w:tcPr>
            <w:tcW w:w="855" w:type="pct"/>
            <w:shd w:val="clear" w:color="auto" w:fill="auto"/>
            <w:tcMar>
              <w:top w:w="0" w:type="dxa"/>
              <w:bottom w:w="0" w:type="dxa"/>
            </w:tcMar>
            <w:vAlign w:val="center"/>
          </w:tcPr>
          <w:p w14:paraId="0109DB50"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0</w:t>
            </w:r>
          </w:p>
        </w:tc>
      </w:tr>
      <w:tr w:rsidR="00CA0F65" w:rsidRPr="008A7E5C" w14:paraId="408BD2D6" w14:textId="77777777" w:rsidTr="0090786C">
        <w:tc>
          <w:tcPr>
            <w:tcW w:w="420" w:type="pct"/>
            <w:shd w:val="clear" w:color="auto" w:fill="auto"/>
            <w:tcMar>
              <w:top w:w="0" w:type="dxa"/>
              <w:bottom w:w="0" w:type="dxa"/>
            </w:tcMar>
            <w:vAlign w:val="center"/>
          </w:tcPr>
          <w:p w14:paraId="17D97780"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lastRenderedPageBreak/>
              <w:t>5</w:t>
            </w:r>
          </w:p>
        </w:tc>
        <w:tc>
          <w:tcPr>
            <w:tcW w:w="1408" w:type="pct"/>
            <w:shd w:val="clear" w:color="auto" w:fill="auto"/>
            <w:tcMar>
              <w:top w:w="0" w:type="dxa"/>
              <w:bottom w:w="0" w:type="dxa"/>
            </w:tcMar>
            <w:vAlign w:val="center"/>
          </w:tcPr>
          <w:p w14:paraId="0CCA2F43"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Share premium</w:t>
            </w:r>
          </w:p>
        </w:tc>
        <w:tc>
          <w:tcPr>
            <w:tcW w:w="1185" w:type="pct"/>
            <w:shd w:val="clear" w:color="auto" w:fill="auto"/>
            <w:tcMar>
              <w:top w:w="0" w:type="dxa"/>
              <w:bottom w:w="0" w:type="dxa"/>
            </w:tcMar>
            <w:vAlign w:val="center"/>
          </w:tcPr>
          <w:p w14:paraId="4383D4F0"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w:t>
            </w:r>
          </w:p>
        </w:tc>
        <w:tc>
          <w:tcPr>
            <w:tcW w:w="1132" w:type="pct"/>
            <w:shd w:val="clear" w:color="auto" w:fill="auto"/>
            <w:tcMar>
              <w:top w:w="0" w:type="dxa"/>
              <w:bottom w:w="0" w:type="dxa"/>
            </w:tcMar>
            <w:vAlign w:val="center"/>
          </w:tcPr>
          <w:p w14:paraId="338CCC7C"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w:t>
            </w:r>
          </w:p>
        </w:tc>
        <w:tc>
          <w:tcPr>
            <w:tcW w:w="855" w:type="pct"/>
            <w:shd w:val="clear" w:color="auto" w:fill="auto"/>
            <w:tcMar>
              <w:top w:w="0" w:type="dxa"/>
              <w:bottom w:w="0" w:type="dxa"/>
            </w:tcMar>
            <w:vAlign w:val="center"/>
          </w:tcPr>
          <w:p w14:paraId="3B8D8DF5"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0</w:t>
            </w:r>
          </w:p>
        </w:tc>
      </w:tr>
      <w:tr w:rsidR="00CA0F65" w:rsidRPr="008A7E5C" w14:paraId="130EF453" w14:textId="77777777" w:rsidTr="0090786C">
        <w:tc>
          <w:tcPr>
            <w:tcW w:w="420" w:type="pct"/>
            <w:shd w:val="clear" w:color="auto" w:fill="auto"/>
            <w:tcMar>
              <w:top w:w="0" w:type="dxa"/>
              <w:bottom w:w="0" w:type="dxa"/>
            </w:tcMar>
            <w:vAlign w:val="center"/>
          </w:tcPr>
          <w:p w14:paraId="4F24259F"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6</w:t>
            </w:r>
          </w:p>
        </w:tc>
        <w:tc>
          <w:tcPr>
            <w:tcW w:w="3725" w:type="pct"/>
            <w:gridSpan w:val="3"/>
            <w:shd w:val="clear" w:color="auto" w:fill="auto"/>
            <w:tcMar>
              <w:top w:w="0" w:type="dxa"/>
              <w:bottom w:w="0" w:type="dxa"/>
            </w:tcMar>
            <w:vAlign w:val="center"/>
          </w:tcPr>
          <w:p w14:paraId="38C42259"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Amount used for increasing charter capital from the source of owners’ equity and reserve fund to supplement charter capital (1) + (2) + (3) + (4) + (5)</w:t>
            </w:r>
          </w:p>
        </w:tc>
        <w:tc>
          <w:tcPr>
            <w:tcW w:w="855" w:type="pct"/>
            <w:shd w:val="clear" w:color="auto" w:fill="auto"/>
            <w:tcMar>
              <w:top w:w="0" w:type="dxa"/>
              <w:bottom w:w="0" w:type="dxa"/>
            </w:tcMar>
            <w:vAlign w:val="center"/>
          </w:tcPr>
          <w:p w14:paraId="57668526"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1,200,000</w:t>
            </w:r>
          </w:p>
        </w:tc>
      </w:tr>
    </w:tbl>
    <w:p w14:paraId="3FBFCEBF" w14:textId="77777777" w:rsidR="00CA0F65" w:rsidRPr="008A7E5C" w:rsidRDefault="0090786C" w:rsidP="0090786C">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A7E5C">
        <w:rPr>
          <w:rFonts w:ascii="Arial" w:hAnsi="Arial" w:cs="Arial"/>
          <w:color w:val="010000"/>
          <w:sz w:val="20"/>
        </w:rPr>
        <w:t>Plan to handle fractional shares: The number of shares issued according to the rights distribution rate for each shareholder is calculated as an integer, the decimal part will not be rounded to 01 share, the number of fractional shares (if any) will be given to PGBank’s Union.</w:t>
      </w:r>
    </w:p>
    <w:p w14:paraId="3C6B50E0"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For example: Shareholder A owns 1,051 shares x 40% = 420.4 shares, shareholder A will receive the integer of 420 shares, the remaining 0.4 shares will be given to PGBank’s Union.</w:t>
      </w:r>
    </w:p>
    <w:p w14:paraId="7C0A72E5" w14:textId="77777777" w:rsidR="00CA0F65" w:rsidRPr="008A7E5C" w:rsidRDefault="0090786C" w:rsidP="0090786C">
      <w:pPr>
        <w:numPr>
          <w:ilvl w:val="0"/>
          <w:numId w:val="1"/>
        </w:numPr>
        <w:pBdr>
          <w:top w:val="nil"/>
          <w:left w:val="nil"/>
          <w:bottom w:val="nil"/>
          <w:right w:val="nil"/>
          <w:between w:val="nil"/>
        </w:pBdr>
        <w:tabs>
          <w:tab w:val="left" w:pos="474"/>
        </w:tabs>
        <w:spacing w:after="120" w:line="360" w:lineRule="auto"/>
        <w:rPr>
          <w:rFonts w:ascii="Arial" w:eastAsia="Arial" w:hAnsi="Arial" w:cs="Arial"/>
          <w:color w:val="010000"/>
          <w:sz w:val="20"/>
          <w:szCs w:val="20"/>
        </w:rPr>
      </w:pPr>
      <w:r w:rsidRPr="008A7E5C">
        <w:rPr>
          <w:rFonts w:ascii="Arial" w:hAnsi="Arial" w:cs="Arial"/>
          <w:color w:val="010000"/>
          <w:sz w:val="20"/>
        </w:rPr>
        <w:t>End date of the issuance: February 23, 2024.</w:t>
      </w:r>
    </w:p>
    <w:p w14:paraId="37E6AD02" w14:textId="77777777" w:rsidR="00CA0F65" w:rsidRPr="008A7E5C" w:rsidRDefault="0090786C" w:rsidP="0090786C">
      <w:pPr>
        <w:numPr>
          <w:ilvl w:val="0"/>
          <w:numId w:val="1"/>
        </w:numPr>
        <w:pBdr>
          <w:top w:val="nil"/>
          <w:left w:val="nil"/>
          <w:bottom w:val="nil"/>
          <w:right w:val="nil"/>
          <w:between w:val="nil"/>
        </w:pBdr>
        <w:tabs>
          <w:tab w:val="left" w:pos="515"/>
        </w:tabs>
        <w:spacing w:after="120" w:line="360" w:lineRule="auto"/>
        <w:rPr>
          <w:rFonts w:ascii="Arial" w:eastAsia="Arial" w:hAnsi="Arial" w:cs="Arial"/>
          <w:color w:val="010000"/>
          <w:sz w:val="20"/>
          <w:szCs w:val="20"/>
        </w:rPr>
      </w:pPr>
      <w:r w:rsidRPr="008A7E5C">
        <w:rPr>
          <w:rFonts w:ascii="Arial" w:hAnsi="Arial" w:cs="Arial"/>
          <w:color w:val="010000"/>
          <w:sz w:val="20"/>
        </w:rPr>
        <w:t>Expected date to transfer shares: Expected in Q2/2024 after completing the change of securities registration at the Vietnam Securities Depository and Clearing Corporation and completing the additional trading registration of newly issued shares at the Hanoi Stock Exchange (“HNX”).</w:t>
      </w:r>
    </w:p>
    <w:p w14:paraId="2787FC45" w14:textId="77777777" w:rsidR="00CA0F65" w:rsidRPr="008A7E5C" w:rsidRDefault="0090786C" w:rsidP="0090786C">
      <w:pPr>
        <w:numPr>
          <w:ilvl w:val="0"/>
          <w:numId w:val="5"/>
        </w:numPr>
        <w:pBdr>
          <w:top w:val="nil"/>
          <w:left w:val="nil"/>
          <w:bottom w:val="nil"/>
          <w:right w:val="nil"/>
          <w:between w:val="nil"/>
        </w:pBdr>
        <w:tabs>
          <w:tab w:val="left" w:pos="517"/>
        </w:tabs>
        <w:spacing w:after="120" w:line="360" w:lineRule="auto"/>
        <w:rPr>
          <w:rFonts w:ascii="Arial" w:eastAsia="Arial" w:hAnsi="Arial" w:cs="Arial"/>
          <w:color w:val="010000"/>
          <w:sz w:val="20"/>
          <w:szCs w:val="20"/>
        </w:rPr>
      </w:pPr>
      <w:r w:rsidRPr="008A7E5C">
        <w:rPr>
          <w:rFonts w:ascii="Arial" w:hAnsi="Arial" w:cs="Arial"/>
          <w:color w:val="010000"/>
          <w:sz w:val="20"/>
        </w:rPr>
        <w:t>Results of share issuance</w:t>
      </w:r>
    </w:p>
    <w:p w14:paraId="26E5B50A" w14:textId="77777777" w:rsidR="00CA0F65" w:rsidRPr="008A7E5C" w:rsidRDefault="0090786C" w:rsidP="0090786C">
      <w:pPr>
        <w:numPr>
          <w:ilvl w:val="0"/>
          <w:numId w:val="2"/>
        </w:numPr>
        <w:pBdr>
          <w:top w:val="nil"/>
          <w:left w:val="nil"/>
          <w:bottom w:val="nil"/>
          <w:right w:val="nil"/>
          <w:between w:val="nil"/>
        </w:pBdr>
        <w:tabs>
          <w:tab w:val="left" w:pos="474"/>
        </w:tabs>
        <w:spacing w:after="120" w:line="360" w:lineRule="auto"/>
        <w:rPr>
          <w:rFonts w:ascii="Arial" w:eastAsia="Arial" w:hAnsi="Arial" w:cs="Arial"/>
          <w:color w:val="010000"/>
          <w:sz w:val="20"/>
          <w:szCs w:val="20"/>
        </w:rPr>
      </w:pPr>
      <w:r w:rsidRPr="008A7E5C">
        <w:rPr>
          <w:rFonts w:ascii="Arial" w:hAnsi="Arial" w:cs="Arial"/>
          <w:color w:val="010000"/>
          <w:sz w:val="20"/>
        </w:rPr>
        <w:t>Total number of distributed shares: 120,000,000 shares, of which:</w:t>
      </w:r>
    </w:p>
    <w:p w14:paraId="555F0F88" w14:textId="77777777" w:rsidR="00CA0F65" w:rsidRPr="008A7E5C" w:rsidRDefault="0090786C" w:rsidP="0090786C">
      <w:pPr>
        <w:numPr>
          <w:ilvl w:val="0"/>
          <w:numId w:val="6"/>
        </w:numPr>
        <w:pBdr>
          <w:top w:val="nil"/>
          <w:left w:val="nil"/>
          <w:bottom w:val="nil"/>
          <w:right w:val="nil"/>
          <w:between w:val="nil"/>
        </w:pBdr>
        <w:tabs>
          <w:tab w:val="left" w:pos="825"/>
        </w:tabs>
        <w:spacing w:after="120" w:line="360" w:lineRule="auto"/>
        <w:rPr>
          <w:rFonts w:ascii="Arial" w:eastAsia="Arial" w:hAnsi="Arial" w:cs="Arial"/>
          <w:color w:val="010000"/>
          <w:sz w:val="20"/>
          <w:szCs w:val="20"/>
        </w:rPr>
      </w:pPr>
      <w:r w:rsidRPr="008A7E5C">
        <w:rPr>
          <w:rFonts w:ascii="Arial" w:hAnsi="Arial" w:cs="Arial"/>
          <w:color w:val="010000"/>
          <w:sz w:val="20"/>
        </w:rPr>
        <w:t>Number of shares distributed to shareholders according to the rate: 119,996,979 shares for 9,250 shareholders.</w:t>
      </w:r>
    </w:p>
    <w:p w14:paraId="3AE3B883" w14:textId="77777777" w:rsidR="00CA0F65" w:rsidRPr="008A7E5C" w:rsidRDefault="0090786C" w:rsidP="0090786C">
      <w:pPr>
        <w:numPr>
          <w:ilvl w:val="0"/>
          <w:numId w:val="6"/>
        </w:numPr>
        <w:pBdr>
          <w:top w:val="nil"/>
          <w:left w:val="nil"/>
          <w:bottom w:val="nil"/>
          <w:right w:val="nil"/>
          <w:between w:val="nil"/>
        </w:pBdr>
        <w:tabs>
          <w:tab w:val="left" w:pos="825"/>
        </w:tabs>
        <w:spacing w:after="120" w:line="360" w:lineRule="auto"/>
        <w:rPr>
          <w:rFonts w:ascii="Arial" w:eastAsia="Arial" w:hAnsi="Arial" w:cs="Arial"/>
          <w:color w:val="010000"/>
          <w:sz w:val="20"/>
          <w:szCs w:val="20"/>
        </w:rPr>
      </w:pPr>
      <w:r w:rsidRPr="008A7E5C">
        <w:rPr>
          <w:rFonts w:ascii="Arial" w:hAnsi="Arial" w:cs="Arial"/>
          <w:color w:val="010000"/>
          <w:sz w:val="20"/>
        </w:rPr>
        <w:t>Number of fractional shares: 3,021 shares.</w:t>
      </w:r>
    </w:p>
    <w:p w14:paraId="4D2A46D7" w14:textId="77777777" w:rsidR="00CA0F65" w:rsidRPr="008A7E5C" w:rsidRDefault="0090786C" w:rsidP="0090786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All 3,021 incurred fractional shares will be given to PGBank's Union according to the charter capital increase plan in 2023 approved by the General Meeting of Shareholders.</w:t>
      </w:r>
    </w:p>
    <w:p w14:paraId="69EC8A5B" w14:textId="77777777" w:rsidR="00CA0F65" w:rsidRPr="008A7E5C" w:rsidRDefault="0090786C" w:rsidP="0090786C">
      <w:pPr>
        <w:numPr>
          <w:ilvl w:val="0"/>
          <w:numId w:val="2"/>
        </w:numPr>
        <w:pBdr>
          <w:top w:val="nil"/>
          <w:left w:val="nil"/>
          <w:bottom w:val="nil"/>
          <w:right w:val="nil"/>
          <w:between w:val="nil"/>
        </w:pBdr>
        <w:tabs>
          <w:tab w:val="left" w:pos="474"/>
        </w:tabs>
        <w:spacing w:after="120" w:line="360" w:lineRule="auto"/>
        <w:rPr>
          <w:rFonts w:ascii="Arial" w:eastAsia="Arial" w:hAnsi="Arial" w:cs="Arial"/>
          <w:color w:val="010000"/>
          <w:sz w:val="20"/>
          <w:szCs w:val="20"/>
        </w:rPr>
      </w:pPr>
      <w:r w:rsidRPr="008A7E5C">
        <w:rPr>
          <w:rFonts w:ascii="Arial" w:hAnsi="Arial" w:cs="Arial"/>
          <w:color w:val="010000"/>
          <w:sz w:val="20"/>
        </w:rPr>
        <w:t>Total number of shares after the issuance (February 23, 2024): 420,000,000 shares, of which:</w:t>
      </w:r>
    </w:p>
    <w:p w14:paraId="3284C69C" w14:textId="77777777" w:rsidR="00CA0F65" w:rsidRPr="008A7E5C" w:rsidRDefault="0090786C" w:rsidP="0090786C">
      <w:pPr>
        <w:numPr>
          <w:ilvl w:val="0"/>
          <w:numId w:val="6"/>
        </w:numPr>
        <w:pBdr>
          <w:top w:val="nil"/>
          <w:left w:val="nil"/>
          <w:bottom w:val="nil"/>
          <w:right w:val="nil"/>
          <w:between w:val="nil"/>
        </w:pBdr>
        <w:tabs>
          <w:tab w:val="left" w:pos="825"/>
        </w:tabs>
        <w:spacing w:after="120" w:line="360" w:lineRule="auto"/>
        <w:rPr>
          <w:rFonts w:ascii="Arial" w:eastAsia="Arial" w:hAnsi="Arial" w:cs="Arial"/>
          <w:color w:val="010000"/>
          <w:sz w:val="20"/>
          <w:szCs w:val="20"/>
        </w:rPr>
      </w:pPr>
      <w:r w:rsidRPr="008A7E5C">
        <w:rPr>
          <w:rFonts w:ascii="Arial" w:hAnsi="Arial" w:cs="Arial"/>
          <w:color w:val="010000"/>
          <w:sz w:val="20"/>
        </w:rPr>
        <w:t>Number of outstanding shares: 420,000,000 shares;</w:t>
      </w:r>
    </w:p>
    <w:p w14:paraId="2AC42AAF" w14:textId="77777777" w:rsidR="00CA0F65" w:rsidRPr="008A7E5C" w:rsidRDefault="0090786C" w:rsidP="0090786C">
      <w:pPr>
        <w:numPr>
          <w:ilvl w:val="0"/>
          <w:numId w:val="6"/>
        </w:numPr>
        <w:tabs>
          <w:tab w:val="left" w:pos="825"/>
          <w:tab w:val="left" w:pos="9222"/>
        </w:tabs>
        <w:spacing w:after="120" w:line="360" w:lineRule="auto"/>
        <w:rPr>
          <w:rFonts w:ascii="Arial" w:hAnsi="Arial" w:cs="Arial"/>
          <w:color w:val="010000"/>
          <w:sz w:val="20"/>
        </w:rPr>
      </w:pPr>
      <w:r w:rsidRPr="008A7E5C">
        <w:rPr>
          <w:rFonts w:ascii="Arial" w:hAnsi="Arial" w:cs="Arial"/>
          <w:color w:val="010000"/>
          <w:sz w:val="20"/>
        </w:rPr>
        <w:t>Number of treasury shares: 0 shares.</w:t>
      </w:r>
    </w:p>
    <w:p w14:paraId="5346740A" w14:textId="1446C39A" w:rsidR="00CA0F65" w:rsidRPr="008A7E5C" w:rsidRDefault="0090786C" w:rsidP="008A7E5C">
      <w:pPr>
        <w:pBdr>
          <w:top w:val="nil"/>
          <w:left w:val="nil"/>
          <w:bottom w:val="nil"/>
          <w:right w:val="nil"/>
          <w:between w:val="nil"/>
        </w:pBdr>
        <w:spacing w:after="120" w:line="360" w:lineRule="auto"/>
        <w:rPr>
          <w:rFonts w:ascii="Arial" w:eastAsia="Arial" w:hAnsi="Arial" w:cs="Arial"/>
          <w:color w:val="010000"/>
          <w:sz w:val="20"/>
          <w:szCs w:val="20"/>
        </w:rPr>
      </w:pPr>
      <w:r w:rsidRPr="008A7E5C">
        <w:rPr>
          <w:rFonts w:ascii="Arial" w:hAnsi="Arial" w:cs="Arial"/>
          <w:color w:val="010000"/>
          <w:sz w:val="20"/>
        </w:rPr>
        <w:t xml:space="preserve"> </w:t>
      </w:r>
    </w:p>
    <w:sectPr w:rsidR="00CA0F65" w:rsidRPr="008A7E5C" w:rsidSect="009078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0E3"/>
    <w:multiLevelType w:val="multilevel"/>
    <w:tmpl w:val="6E76126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CA7AE0"/>
    <w:multiLevelType w:val="multilevel"/>
    <w:tmpl w:val="6A0853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942D89"/>
    <w:multiLevelType w:val="multilevel"/>
    <w:tmpl w:val="3F8ADD12"/>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04417CE"/>
    <w:multiLevelType w:val="multilevel"/>
    <w:tmpl w:val="E54AC4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6C31595"/>
    <w:multiLevelType w:val="multilevel"/>
    <w:tmpl w:val="EFD0A4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9C5235"/>
    <w:multiLevelType w:val="multilevel"/>
    <w:tmpl w:val="B09E0E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65"/>
    <w:rsid w:val="008A7E5C"/>
    <w:rsid w:val="0090786C"/>
    <w:rsid w:val="00CA0F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55593"/>
  <w15:docId w15:val="{7926F595-C5AA-48A1-9BA6-0F85C67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E4B49"/>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color w:val="3E4B4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76D7A"/>
      <w:w w:val="7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E4B49"/>
      <w:sz w:val="26"/>
      <w:szCs w:val="26"/>
    </w:rPr>
  </w:style>
  <w:style w:type="paragraph" w:customStyle="1" w:styleId="Khc0">
    <w:name w:val="Khác"/>
    <w:basedOn w:val="Normal"/>
    <w:link w:val="Khc"/>
    <w:pPr>
      <w:spacing w:line="286" w:lineRule="auto"/>
    </w:pPr>
    <w:rPr>
      <w:rFonts w:ascii="Times New Roman" w:eastAsia="Times New Roman" w:hAnsi="Times New Roman" w:cs="Times New Roman"/>
    </w:rPr>
  </w:style>
  <w:style w:type="paragraph" w:customStyle="1" w:styleId="Mclc0">
    <w:name w:val="Mục lục"/>
    <w:basedOn w:val="Normal"/>
    <w:link w:val="Mclc"/>
    <w:pPr>
      <w:spacing w:line="262" w:lineRule="auto"/>
      <w:ind w:firstLine="200"/>
    </w:pPr>
    <w:rPr>
      <w:rFonts w:ascii="Times New Roman" w:eastAsia="Times New Roman" w:hAnsi="Times New Roman" w:cs="Times New Roman"/>
      <w:color w:val="3E4B49"/>
    </w:rPr>
  </w:style>
  <w:style w:type="paragraph" w:customStyle="1" w:styleId="Vnbnnidung20">
    <w:name w:val="Văn bản nội dung (2)"/>
    <w:basedOn w:val="Normal"/>
    <w:link w:val="Vnbnnidung2"/>
    <w:pPr>
      <w:spacing w:line="218" w:lineRule="auto"/>
      <w:ind w:left="-680" w:hanging="680"/>
    </w:pPr>
    <w:rPr>
      <w:rFonts w:ascii="Times New Roman" w:eastAsia="Times New Roman" w:hAnsi="Times New Roman" w:cs="Times New Roman"/>
      <w:color w:val="FF0000"/>
      <w:sz w:val="11"/>
      <w:szCs w:val="11"/>
    </w:rPr>
  </w:style>
  <w:style w:type="paragraph" w:customStyle="1" w:styleId="Vnbnnidung30">
    <w:name w:val="Văn bản nội dung (3)"/>
    <w:basedOn w:val="Normal"/>
    <w:link w:val="Vnbnnidung3"/>
    <w:pPr>
      <w:spacing w:line="271" w:lineRule="auto"/>
    </w:pPr>
    <w:rPr>
      <w:rFonts w:ascii="Arial" w:eastAsia="Arial" w:hAnsi="Arial" w:cs="Arial"/>
      <w:b/>
      <w:bCs/>
      <w:color w:val="C76D7A"/>
      <w:w w:val="70"/>
      <w:sz w:val="19"/>
      <w:szCs w:val="19"/>
    </w:rPr>
  </w:style>
  <w:style w:type="paragraph" w:customStyle="1" w:styleId="Chthchbng0">
    <w:name w:val="Chú thích bảng"/>
    <w:basedOn w:val="Normal"/>
    <w:link w:val="Chthchbng"/>
    <w:pPr>
      <w:spacing w:line="288" w:lineRule="auto"/>
      <w:ind w:left="400" w:hanging="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Lo5l1Er1PLdpu5swreUoju0Lw==">CgMxLjA4AHIhMTlNLXFVejJUbGJOYnZaTlRGbkYxUnlMT1lVVmZqNTlM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2728</Characters>
  <Application>Microsoft Office Word</Application>
  <DocSecurity>0</DocSecurity>
  <Lines>85</Lines>
  <Paragraphs>64</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2024-03-06T04:33:00Z</dcterms:created>
  <dcterms:modified xsi:type="dcterms:W3CDTF">2024-03-07T02:49:00Z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a46466c5f6f537c7f3b4278c92d9a837f134729557be83746e920a2007b8a4a5</vt:lpwstr>
  </property>
</Properties>
</file>