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C4B3F" w14:textId="250B7B8B" w:rsidR="00C62AD9" w:rsidRPr="00D416F7" w:rsidRDefault="00124F1D" w:rsidP="00124F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D416F7">
        <w:rPr>
          <w:rFonts w:ascii="Arial" w:hAnsi="Arial" w:cs="Arial"/>
          <w:b/>
          <w:color w:val="010000"/>
          <w:sz w:val="20"/>
        </w:rPr>
        <w:t>PND</w:t>
      </w:r>
      <w:proofErr w:type="spellEnd"/>
      <w:r w:rsidR="008F7704" w:rsidRPr="00D416F7">
        <w:rPr>
          <w:rFonts w:ascii="Arial" w:hAnsi="Arial" w:cs="Arial"/>
          <w:b/>
          <w:color w:val="010000"/>
          <w:sz w:val="20"/>
        </w:rPr>
        <w:t>:</w:t>
      </w:r>
      <w:r w:rsidRPr="00D416F7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60EF9304" w14:textId="77777777" w:rsidR="00C62AD9" w:rsidRPr="00D416F7" w:rsidRDefault="00124F1D" w:rsidP="00124F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 xml:space="preserve">On March 6, 2024, </w:t>
      </w:r>
      <w:proofErr w:type="spellStart"/>
      <w:r w:rsidRPr="00D416F7">
        <w:rPr>
          <w:rFonts w:ascii="Arial" w:hAnsi="Arial" w:cs="Arial"/>
          <w:color w:val="010000"/>
          <w:sz w:val="20"/>
        </w:rPr>
        <w:t>Petrovietnam</w:t>
      </w:r>
      <w:proofErr w:type="spellEnd"/>
      <w:r w:rsidRPr="00D416F7">
        <w:rPr>
          <w:rFonts w:ascii="Arial" w:hAnsi="Arial" w:cs="Arial"/>
          <w:color w:val="010000"/>
          <w:sz w:val="20"/>
        </w:rPr>
        <w:t xml:space="preserve"> Oil Nam Dinh Joint Stock Company announced Resolution No. 426/NQ-</w:t>
      </w:r>
      <w:proofErr w:type="spellStart"/>
      <w:r w:rsidRPr="00D416F7">
        <w:rPr>
          <w:rFonts w:ascii="Arial" w:hAnsi="Arial" w:cs="Arial"/>
          <w:color w:val="010000"/>
          <w:sz w:val="20"/>
        </w:rPr>
        <w:t>HDQT</w:t>
      </w:r>
      <w:proofErr w:type="spellEnd"/>
      <w:r w:rsidRPr="00D416F7">
        <w:rPr>
          <w:rFonts w:ascii="Arial" w:hAnsi="Arial" w:cs="Arial"/>
          <w:color w:val="010000"/>
          <w:sz w:val="20"/>
        </w:rPr>
        <w:t xml:space="preserve"> on approving the organizational plan and contents of the Annual General Meeting of Shareholders 2024 as follows: </w:t>
      </w:r>
    </w:p>
    <w:p w14:paraId="61E7E634" w14:textId="77777777" w:rsidR="00C62AD9" w:rsidRPr="00D416F7" w:rsidRDefault="00124F1D" w:rsidP="00124F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 xml:space="preserve">‎‎Article 1. Approve the organizational plan and contents of the Annual General Meeting of Shareholders 2024 of </w:t>
      </w:r>
      <w:proofErr w:type="spellStart"/>
      <w:r w:rsidRPr="00D416F7">
        <w:rPr>
          <w:rFonts w:ascii="Arial" w:hAnsi="Arial" w:cs="Arial"/>
          <w:color w:val="010000"/>
          <w:sz w:val="20"/>
        </w:rPr>
        <w:t>Petrovietnam</w:t>
      </w:r>
      <w:proofErr w:type="spellEnd"/>
      <w:r w:rsidRPr="00D416F7">
        <w:rPr>
          <w:rFonts w:ascii="Arial" w:hAnsi="Arial" w:cs="Arial"/>
          <w:color w:val="010000"/>
          <w:sz w:val="20"/>
        </w:rPr>
        <w:t xml:space="preserve"> Oil Nam Dinh Joint Stock Company as follows:</w:t>
      </w:r>
    </w:p>
    <w:p w14:paraId="18774C5C" w14:textId="77777777" w:rsidR="00C62AD9" w:rsidRPr="00D416F7" w:rsidRDefault="00124F1D" w:rsidP="00124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Approve the plan of the Annual General Meeting of Shareholders 2024 of the Company, specifically:</w:t>
      </w:r>
    </w:p>
    <w:p w14:paraId="33B91561" w14:textId="129EBCFD" w:rsidR="00C62AD9" w:rsidRPr="00D416F7" w:rsidRDefault="00124F1D" w:rsidP="00124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 xml:space="preserve">Expected meeting time: </w:t>
      </w:r>
      <w:r w:rsidR="003D5A4D" w:rsidRPr="00D416F7">
        <w:rPr>
          <w:rFonts w:ascii="Arial" w:hAnsi="Arial" w:cs="Arial"/>
          <w:color w:val="010000"/>
          <w:sz w:val="20"/>
        </w:rPr>
        <w:t>02</w:t>
      </w:r>
      <w:r w:rsidRPr="00D416F7">
        <w:rPr>
          <w:rFonts w:ascii="Arial" w:hAnsi="Arial" w:cs="Arial"/>
          <w:color w:val="010000"/>
          <w:sz w:val="20"/>
        </w:rPr>
        <w:t>:00 p.m., April 23, 2024.</w:t>
      </w:r>
    </w:p>
    <w:p w14:paraId="5E75E74E" w14:textId="77777777" w:rsidR="00C62AD9" w:rsidRPr="00D416F7" w:rsidRDefault="00124F1D" w:rsidP="00124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 xml:space="preserve">Organization venue: Headquarters, No. 36 </w:t>
      </w:r>
      <w:proofErr w:type="spellStart"/>
      <w:r w:rsidRPr="00D416F7">
        <w:rPr>
          <w:rFonts w:ascii="Arial" w:hAnsi="Arial" w:cs="Arial"/>
          <w:color w:val="010000"/>
          <w:sz w:val="20"/>
        </w:rPr>
        <w:t>Phung</w:t>
      </w:r>
      <w:proofErr w:type="spellEnd"/>
      <w:r w:rsidRPr="00D416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416F7">
        <w:rPr>
          <w:rFonts w:ascii="Arial" w:hAnsi="Arial" w:cs="Arial"/>
          <w:color w:val="010000"/>
          <w:sz w:val="20"/>
        </w:rPr>
        <w:t>Khac</w:t>
      </w:r>
      <w:proofErr w:type="spellEnd"/>
      <w:r w:rsidRPr="00D416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416F7">
        <w:rPr>
          <w:rFonts w:ascii="Arial" w:hAnsi="Arial" w:cs="Arial"/>
          <w:color w:val="010000"/>
          <w:sz w:val="20"/>
        </w:rPr>
        <w:t>Khoan</w:t>
      </w:r>
      <w:proofErr w:type="spellEnd"/>
      <w:r w:rsidRPr="00D416F7">
        <w:rPr>
          <w:rFonts w:ascii="Arial" w:hAnsi="Arial" w:cs="Arial"/>
          <w:color w:val="010000"/>
          <w:sz w:val="20"/>
        </w:rPr>
        <w:t xml:space="preserve">, Truong Thi Ward, Nam Dinh City, Nam Dinh Province. </w:t>
      </w:r>
    </w:p>
    <w:p w14:paraId="6C377699" w14:textId="77777777" w:rsidR="00C62AD9" w:rsidRPr="00D416F7" w:rsidRDefault="00124F1D" w:rsidP="00124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Participants of the Meeting:</w:t>
      </w:r>
    </w:p>
    <w:p w14:paraId="26CDAE90" w14:textId="015FE193" w:rsidR="00C62AD9" w:rsidRPr="00D416F7" w:rsidRDefault="00124F1D" w:rsidP="00124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 xml:space="preserve">The Board of Directors, </w:t>
      </w:r>
      <w:r w:rsidR="003D5A4D" w:rsidRPr="00D416F7">
        <w:rPr>
          <w:rFonts w:ascii="Arial" w:hAnsi="Arial" w:cs="Arial"/>
          <w:color w:val="010000"/>
          <w:sz w:val="20"/>
        </w:rPr>
        <w:t xml:space="preserve">the </w:t>
      </w:r>
      <w:r w:rsidRPr="00D416F7">
        <w:rPr>
          <w:rFonts w:ascii="Arial" w:hAnsi="Arial" w:cs="Arial"/>
          <w:color w:val="010000"/>
          <w:sz w:val="20"/>
        </w:rPr>
        <w:t xml:space="preserve">Board of Managers, </w:t>
      </w:r>
      <w:r w:rsidR="003D5A4D" w:rsidRPr="00D416F7">
        <w:rPr>
          <w:rFonts w:ascii="Arial" w:hAnsi="Arial" w:cs="Arial"/>
          <w:color w:val="010000"/>
          <w:sz w:val="20"/>
        </w:rPr>
        <w:t xml:space="preserve">the </w:t>
      </w:r>
      <w:r w:rsidRPr="00D416F7">
        <w:rPr>
          <w:rFonts w:ascii="Arial" w:hAnsi="Arial" w:cs="Arial"/>
          <w:color w:val="010000"/>
          <w:sz w:val="20"/>
        </w:rPr>
        <w:t xml:space="preserve">Supervisory Board, </w:t>
      </w:r>
      <w:r w:rsidR="003D5A4D" w:rsidRPr="00D416F7">
        <w:rPr>
          <w:rFonts w:ascii="Arial" w:hAnsi="Arial" w:cs="Arial"/>
          <w:color w:val="010000"/>
          <w:sz w:val="20"/>
        </w:rPr>
        <w:t xml:space="preserve">the </w:t>
      </w:r>
      <w:r w:rsidRPr="00D416F7">
        <w:rPr>
          <w:rFonts w:ascii="Arial" w:hAnsi="Arial" w:cs="Arial"/>
          <w:color w:val="010000"/>
          <w:sz w:val="20"/>
        </w:rPr>
        <w:t>Chief Accountant of the Company</w:t>
      </w:r>
    </w:p>
    <w:p w14:paraId="3BAEA234" w14:textId="77777777" w:rsidR="00C62AD9" w:rsidRPr="00D416F7" w:rsidRDefault="00124F1D" w:rsidP="00124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Shareholders of the Company named in the list recorded on the record date.</w:t>
      </w:r>
    </w:p>
    <w:p w14:paraId="35918134" w14:textId="77777777" w:rsidR="00C62AD9" w:rsidRPr="00D416F7" w:rsidRDefault="00124F1D" w:rsidP="00124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The record date for the list of shareholders attending the Meeting (expected): April 1, 2024</w:t>
      </w:r>
    </w:p>
    <w:p w14:paraId="2A167957" w14:textId="77777777" w:rsidR="00C62AD9" w:rsidRPr="00D416F7" w:rsidRDefault="00124F1D" w:rsidP="00124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Other contents of the Annual General Meeting of Shareholders 2024, including</w:t>
      </w:r>
    </w:p>
    <w:p w14:paraId="3B39C317" w14:textId="77777777" w:rsidR="00C62AD9" w:rsidRPr="00D416F7" w:rsidRDefault="00124F1D" w:rsidP="00124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Report on activities of the Board of Directors in 2023 and the plan for 2024.</w:t>
      </w:r>
    </w:p>
    <w:p w14:paraId="31FE23F2" w14:textId="77777777" w:rsidR="00C62AD9" w:rsidRPr="00D416F7" w:rsidRDefault="00124F1D" w:rsidP="00124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Report on production and business results in 2023 and plan for 2024.</w:t>
      </w:r>
    </w:p>
    <w:p w14:paraId="7DB5C58A" w14:textId="77777777" w:rsidR="00C62AD9" w:rsidRPr="00D416F7" w:rsidRDefault="00124F1D" w:rsidP="00124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Report of the Supervisory Board on activities in 2023 and plan for 2024.</w:t>
      </w:r>
    </w:p>
    <w:p w14:paraId="41683C0A" w14:textId="77777777" w:rsidR="00C62AD9" w:rsidRPr="00D416F7" w:rsidRDefault="00124F1D" w:rsidP="00124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Proposal on approving the audited Financial Statements 2023.</w:t>
      </w:r>
    </w:p>
    <w:p w14:paraId="56D41DAE" w14:textId="77777777" w:rsidR="00C62AD9" w:rsidRPr="00D416F7" w:rsidRDefault="00124F1D" w:rsidP="00124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Proposal on approving the profit distribution plan in 2023 and the profit distribution plan for 2024.</w:t>
      </w:r>
    </w:p>
    <w:p w14:paraId="22837215" w14:textId="77777777" w:rsidR="00C62AD9" w:rsidRPr="00D416F7" w:rsidRDefault="00124F1D" w:rsidP="00124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Approve the plan on selecting an audit company for the Financial Statements 2024.</w:t>
      </w:r>
    </w:p>
    <w:p w14:paraId="27BC4940" w14:textId="77777777" w:rsidR="00C62AD9" w:rsidRPr="00D416F7" w:rsidRDefault="00124F1D" w:rsidP="00124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Approve the plan on settling the remuneration of the Board of Directors and the Supervisory Board in 2024.</w:t>
      </w:r>
    </w:p>
    <w:p w14:paraId="7D52E9DF" w14:textId="77777777" w:rsidR="00C62AD9" w:rsidRPr="00D416F7" w:rsidRDefault="00124F1D" w:rsidP="00124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Proposal on approving the capital mobilization plan to serve production and business activities.</w:t>
      </w:r>
    </w:p>
    <w:p w14:paraId="70E3171B" w14:textId="77777777" w:rsidR="00C62AD9" w:rsidRPr="00D416F7" w:rsidRDefault="00124F1D" w:rsidP="00124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Proposal on approving transactions and contracts between the Company and affiliated persons.</w:t>
      </w:r>
    </w:p>
    <w:p w14:paraId="52FA53D4" w14:textId="58AD7CDA" w:rsidR="00C62AD9" w:rsidRPr="00D416F7" w:rsidRDefault="00124F1D" w:rsidP="00124F1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 xml:space="preserve">(Draft </w:t>
      </w:r>
      <w:r w:rsidR="003D5A4D" w:rsidRPr="00D416F7">
        <w:rPr>
          <w:rFonts w:ascii="Arial" w:hAnsi="Arial" w:cs="Arial"/>
          <w:color w:val="010000"/>
          <w:sz w:val="20"/>
        </w:rPr>
        <w:t xml:space="preserve">Reports </w:t>
      </w:r>
      <w:r w:rsidRPr="00D416F7">
        <w:rPr>
          <w:rFonts w:ascii="Arial" w:hAnsi="Arial" w:cs="Arial"/>
          <w:color w:val="010000"/>
          <w:sz w:val="20"/>
        </w:rPr>
        <w:t>and Proposals attached)</w:t>
      </w:r>
    </w:p>
    <w:p w14:paraId="686ED0F1" w14:textId="77777777" w:rsidR="00C62AD9" w:rsidRPr="00D416F7" w:rsidRDefault="00124F1D" w:rsidP="00124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>Establish the Organizing Committee of the Annual General Meeting of Shareholders 2024 with the following members: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95"/>
        <w:gridCol w:w="3316"/>
        <w:gridCol w:w="3006"/>
      </w:tblGrid>
      <w:tr w:rsidR="00C62AD9" w:rsidRPr="00D416F7" w14:paraId="7A3E55F8" w14:textId="77777777" w:rsidTr="00D416F7">
        <w:tc>
          <w:tcPr>
            <w:tcW w:w="1494" w:type="pct"/>
            <w:shd w:val="clear" w:color="auto" w:fill="auto"/>
          </w:tcPr>
          <w:p w14:paraId="7E52A116" w14:textId="77777777" w:rsidR="00C62AD9" w:rsidRPr="00D416F7" w:rsidRDefault="00124F1D" w:rsidP="00124F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t>Mr. Nguyen Mau Dung</w:t>
            </w:r>
          </w:p>
        </w:tc>
        <w:tc>
          <w:tcPr>
            <w:tcW w:w="1839" w:type="pct"/>
            <w:shd w:val="clear" w:color="auto" w:fill="auto"/>
          </w:tcPr>
          <w:p w14:paraId="42FACCA4" w14:textId="77777777" w:rsidR="00C62AD9" w:rsidRPr="00D416F7" w:rsidRDefault="00124F1D" w:rsidP="0012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667" w:type="pct"/>
            <w:shd w:val="clear" w:color="auto" w:fill="auto"/>
          </w:tcPr>
          <w:p w14:paraId="2A898EF7" w14:textId="77777777" w:rsidR="00C62AD9" w:rsidRPr="00D416F7" w:rsidRDefault="00124F1D" w:rsidP="0012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t>Head</w:t>
            </w:r>
          </w:p>
        </w:tc>
      </w:tr>
      <w:tr w:rsidR="00C62AD9" w:rsidRPr="00D416F7" w14:paraId="2D2A8208" w14:textId="77777777" w:rsidTr="00D416F7">
        <w:tc>
          <w:tcPr>
            <w:tcW w:w="1494" w:type="pct"/>
            <w:shd w:val="clear" w:color="auto" w:fill="auto"/>
          </w:tcPr>
          <w:p w14:paraId="44750CCB" w14:textId="77777777" w:rsidR="00C62AD9" w:rsidRPr="00D416F7" w:rsidRDefault="00124F1D" w:rsidP="00124F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t xml:space="preserve">Mr. Ton </w:t>
            </w:r>
            <w:proofErr w:type="spellStart"/>
            <w:r w:rsidRPr="00D416F7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  <w:r w:rsidRPr="00D416F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416F7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839" w:type="pct"/>
            <w:shd w:val="clear" w:color="auto" w:fill="auto"/>
          </w:tcPr>
          <w:p w14:paraId="5978B1C5" w14:textId="77777777" w:rsidR="00C62AD9" w:rsidRPr="00D416F7" w:rsidRDefault="00124F1D" w:rsidP="0012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t xml:space="preserve">Member of the Board of Directors, </w:t>
            </w:r>
            <w:r w:rsidRPr="00D416F7">
              <w:rPr>
                <w:rFonts w:ascii="Arial" w:hAnsi="Arial" w:cs="Arial"/>
                <w:color w:val="010000"/>
                <w:sz w:val="20"/>
              </w:rPr>
              <w:lastRenderedPageBreak/>
              <w:t>Manager</w:t>
            </w:r>
          </w:p>
        </w:tc>
        <w:tc>
          <w:tcPr>
            <w:tcW w:w="1667" w:type="pct"/>
            <w:shd w:val="clear" w:color="auto" w:fill="auto"/>
          </w:tcPr>
          <w:p w14:paraId="0648AD3C" w14:textId="77777777" w:rsidR="00C62AD9" w:rsidRPr="00D416F7" w:rsidRDefault="00124F1D" w:rsidP="0012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lastRenderedPageBreak/>
              <w:t>Deputy Head</w:t>
            </w:r>
          </w:p>
        </w:tc>
      </w:tr>
      <w:tr w:rsidR="00C62AD9" w:rsidRPr="00D416F7" w14:paraId="4054D142" w14:textId="77777777" w:rsidTr="00D416F7">
        <w:tc>
          <w:tcPr>
            <w:tcW w:w="1494" w:type="pct"/>
            <w:shd w:val="clear" w:color="auto" w:fill="auto"/>
          </w:tcPr>
          <w:p w14:paraId="52CB3F54" w14:textId="77777777" w:rsidR="00C62AD9" w:rsidRPr="00D416F7" w:rsidRDefault="00124F1D" w:rsidP="00124F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Mr. Tran </w:t>
            </w:r>
            <w:proofErr w:type="spellStart"/>
            <w:r w:rsidRPr="00D416F7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D416F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416F7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1839" w:type="pct"/>
            <w:shd w:val="clear" w:color="auto" w:fill="auto"/>
          </w:tcPr>
          <w:p w14:paraId="5A494BDC" w14:textId="77777777" w:rsidR="00C62AD9" w:rsidRPr="00D416F7" w:rsidRDefault="00124F1D" w:rsidP="0012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t xml:space="preserve">Company’s Secretariat </w:t>
            </w:r>
          </w:p>
        </w:tc>
        <w:tc>
          <w:tcPr>
            <w:tcW w:w="1667" w:type="pct"/>
            <w:shd w:val="clear" w:color="auto" w:fill="auto"/>
          </w:tcPr>
          <w:p w14:paraId="48F028AA" w14:textId="0374548F" w:rsidR="00C62AD9" w:rsidRPr="00D416F7" w:rsidRDefault="00D416F7" w:rsidP="0012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t xml:space="preserve">Member, Head of the </w:t>
            </w:r>
            <w:r w:rsidR="00124F1D" w:rsidRPr="00D416F7">
              <w:rPr>
                <w:rFonts w:ascii="Arial" w:hAnsi="Arial" w:cs="Arial"/>
                <w:color w:val="010000"/>
                <w:sz w:val="20"/>
              </w:rPr>
              <w:t>Shareholder's Eligibility Verification Committee</w:t>
            </w:r>
          </w:p>
        </w:tc>
      </w:tr>
      <w:tr w:rsidR="00C62AD9" w:rsidRPr="00D416F7" w14:paraId="4EE20CB0" w14:textId="77777777" w:rsidTr="00D416F7">
        <w:tc>
          <w:tcPr>
            <w:tcW w:w="1494" w:type="pct"/>
            <w:shd w:val="clear" w:color="auto" w:fill="auto"/>
          </w:tcPr>
          <w:p w14:paraId="10ECA01B" w14:textId="77777777" w:rsidR="00C62AD9" w:rsidRPr="00D416F7" w:rsidRDefault="00124F1D" w:rsidP="00124F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t>Mr. Cao Anh Tuan</w:t>
            </w:r>
          </w:p>
        </w:tc>
        <w:tc>
          <w:tcPr>
            <w:tcW w:w="1839" w:type="pct"/>
            <w:shd w:val="clear" w:color="auto" w:fill="auto"/>
          </w:tcPr>
          <w:p w14:paraId="60C6D817" w14:textId="77777777" w:rsidR="00C62AD9" w:rsidRPr="00D416F7" w:rsidRDefault="00124F1D" w:rsidP="0012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t>Deputy Manager</w:t>
            </w:r>
          </w:p>
        </w:tc>
        <w:tc>
          <w:tcPr>
            <w:tcW w:w="1667" w:type="pct"/>
            <w:shd w:val="clear" w:color="auto" w:fill="auto"/>
          </w:tcPr>
          <w:p w14:paraId="475CD19B" w14:textId="77777777" w:rsidR="00C62AD9" w:rsidRPr="00D416F7" w:rsidRDefault="00124F1D" w:rsidP="0012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  <w:tr w:rsidR="00C62AD9" w:rsidRPr="00D416F7" w14:paraId="39CF178C" w14:textId="77777777" w:rsidTr="00D416F7">
        <w:tc>
          <w:tcPr>
            <w:tcW w:w="1494" w:type="pct"/>
            <w:shd w:val="clear" w:color="auto" w:fill="auto"/>
          </w:tcPr>
          <w:p w14:paraId="510D8C8F" w14:textId="77777777" w:rsidR="00C62AD9" w:rsidRPr="00D416F7" w:rsidRDefault="00124F1D" w:rsidP="00124F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t>Mr. Nguyen Thanh Tung</w:t>
            </w:r>
          </w:p>
        </w:tc>
        <w:tc>
          <w:tcPr>
            <w:tcW w:w="1839" w:type="pct"/>
            <w:shd w:val="clear" w:color="auto" w:fill="auto"/>
          </w:tcPr>
          <w:p w14:paraId="0FD634E0" w14:textId="44DB10F4" w:rsidR="00C62AD9" w:rsidRPr="00D416F7" w:rsidRDefault="00124F1D" w:rsidP="0012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t>Deputy Head of the Department of Organization and Administration</w:t>
            </w:r>
          </w:p>
        </w:tc>
        <w:tc>
          <w:tcPr>
            <w:tcW w:w="1667" w:type="pct"/>
            <w:shd w:val="clear" w:color="auto" w:fill="auto"/>
          </w:tcPr>
          <w:p w14:paraId="27B73092" w14:textId="77777777" w:rsidR="00C62AD9" w:rsidRPr="00D416F7" w:rsidRDefault="00124F1D" w:rsidP="0012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416F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</w:tbl>
    <w:p w14:paraId="58C72CC6" w14:textId="357681E6" w:rsidR="00C62AD9" w:rsidRPr="00D416F7" w:rsidRDefault="00124F1D" w:rsidP="00124F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416F7">
        <w:rPr>
          <w:rFonts w:ascii="Arial" w:hAnsi="Arial" w:cs="Arial"/>
          <w:color w:val="010000"/>
          <w:sz w:val="20"/>
        </w:rPr>
        <w:t xml:space="preserve">‎‎Article 2. This Resolution takes effect from the date of its signing. The Board of Directors, the Supervisory Board and </w:t>
      </w:r>
      <w:r w:rsidR="00D416F7" w:rsidRPr="00D416F7">
        <w:rPr>
          <w:rFonts w:ascii="Arial" w:hAnsi="Arial" w:cs="Arial"/>
          <w:color w:val="010000"/>
          <w:sz w:val="20"/>
        </w:rPr>
        <w:t xml:space="preserve">the </w:t>
      </w:r>
      <w:r w:rsidRPr="00D416F7">
        <w:rPr>
          <w:rFonts w:ascii="Arial" w:hAnsi="Arial" w:cs="Arial"/>
          <w:color w:val="010000"/>
          <w:sz w:val="20"/>
        </w:rPr>
        <w:t>Board of Managers of the Company are responsible for implementing this Resolution.</w:t>
      </w:r>
    </w:p>
    <w:sectPr w:rsidR="00C62AD9" w:rsidRPr="00D416F7" w:rsidSect="00124F1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B3"/>
    <w:multiLevelType w:val="multilevel"/>
    <w:tmpl w:val="B1E2ABB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F77A17"/>
    <w:multiLevelType w:val="multilevel"/>
    <w:tmpl w:val="71809FD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045FA1"/>
    <w:multiLevelType w:val="multilevel"/>
    <w:tmpl w:val="EC7CD4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834985"/>
    <w:multiLevelType w:val="multilevel"/>
    <w:tmpl w:val="FD4C02D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D9"/>
    <w:rsid w:val="00124F1D"/>
    <w:rsid w:val="003D5A4D"/>
    <w:rsid w:val="006A7B5C"/>
    <w:rsid w:val="008F7704"/>
    <w:rsid w:val="00C62AD9"/>
    <w:rsid w:val="00D4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D3427"/>
  <w15:docId w15:val="{DA920AB4-17DB-498D-B3EB-01177E66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D222B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pacing w:line="276" w:lineRule="auto"/>
      <w:ind w:left="2100"/>
    </w:pPr>
    <w:rPr>
      <w:rFonts w:ascii="Arial" w:eastAsia="Arial" w:hAnsi="Arial" w:cs="Arial"/>
      <w:color w:val="DD222B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99" w:lineRule="auto"/>
      <w:ind w:left="3260"/>
    </w:pPr>
    <w:rPr>
      <w:rFonts w:ascii="Times New Roman" w:eastAsia="Times New Roman" w:hAnsi="Times New Roman" w:cs="Times New Roman"/>
      <w:smallCaps/>
      <w:sz w:val="30"/>
      <w:szCs w:val="30"/>
    </w:rPr>
  </w:style>
  <w:style w:type="table" w:styleId="TableGrid">
    <w:name w:val="Table Grid"/>
    <w:basedOn w:val="TableNormal"/>
    <w:uiPriority w:val="39"/>
    <w:rsid w:val="00BA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t2gf4GTQ3SN2fedJskPegGWKtg==">CgMxLjA4AHIhMS1DZTJGQnNVSENiaUVXY1VISGxOZE5BV3dxMkhYeTdo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2024-03-11T04:33:00Z</dcterms:created>
  <dcterms:modified xsi:type="dcterms:W3CDTF">2024-03-11T04:33:00Z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1d2429a25c82bddcfe2d15223acd8a483bdd51ebe5072730478737c743ddf543</vt:lpwstr>
  </property>
</Properties>
</file>