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A042" w14:textId="64A2EFCE" w:rsidR="00E35049" w:rsidRPr="003B2DC8" w:rsidRDefault="00E35049" w:rsidP="000A24EA">
      <w:pPr>
        <w:pStyle w:val="BodyText"/>
        <w:tabs>
          <w:tab w:val="left" w:pos="432"/>
        </w:tabs>
        <w:spacing w:after="120" w:line="360" w:lineRule="auto"/>
        <w:rPr>
          <w:b/>
          <w:bCs/>
          <w:color w:val="010000"/>
          <w:szCs w:val="19"/>
        </w:rPr>
      </w:pPr>
      <w:bookmarkStart w:id="0" w:name="_GoBack"/>
      <w:bookmarkEnd w:id="0"/>
      <w:r w:rsidRPr="003B2DC8">
        <w:rPr>
          <w:b/>
          <w:color w:val="010000"/>
        </w:rPr>
        <w:t>TIN: Board Resolution</w:t>
      </w:r>
    </w:p>
    <w:p w14:paraId="44B86EC5" w14:textId="1FAB98CC" w:rsidR="00922F14" w:rsidRPr="003B2DC8" w:rsidRDefault="00E35049" w:rsidP="000A24EA">
      <w:pPr>
        <w:pStyle w:val="BodyText"/>
        <w:tabs>
          <w:tab w:val="left" w:pos="432"/>
        </w:tabs>
        <w:spacing w:after="120" w:line="360" w:lineRule="auto"/>
        <w:rPr>
          <w:color w:val="010000"/>
        </w:rPr>
      </w:pPr>
      <w:r w:rsidRPr="003B2DC8">
        <w:rPr>
          <w:color w:val="010000"/>
        </w:rPr>
        <w:t>On March 05, 2024, VietCredit Finance Joint Stock Company announced</w:t>
      </w:r>
      <w:r w:rsidR="000A24EA" w:rsidRPr="003B2DC8">
        <w:rPr>
          <w:color w:val="010000"/>
        </w:rPr>
        <w:t xml:space="preserve"> </w:t>
      </w:r>
      <w:r w:rsidRPr="003B2DC8">
        <w:rPr>
          <w:color w:val="010000"/>
        </w:rPr>
        <w:t>Resolution No. 139/2024/VietCredit-NQ</w:t>
      </w:r>
      <w:r w:rsidR="000A24EA" w:rsidRPr="003B2DC8">
        <w:rPr>
          <w:color w:val="010000"/>
        </w:rPr>
        <w:t xml:space="preserve"> </w:t>
      </w:r>
      <w:r w:rsidRPr="003B2DC8">
        <w:rPr>
          <w:color w:val="010000"/>
        </w:rPr>
        <w:t>on holding the Annual General Meeting of Shareholders 2024 as follows:</w:t>
      </w:r>
    </w:p>
    <w:p w14:paraId="29C0E058" w14:textId="03977B89" w:rsidR="00922F14" w:rsidRPr="003B2DC8" w:rsidRDefault="00A10F22" w:rsidP="000A24EA">
      <w:pPr>
        <w:pStyle w:val="BodyText"/>
        <w:tabs>
          <w:tab w:val="left" w:pos="432"/>
        </w:tabs>
        <w:spacing w:after="120" w:line="360" w:lineRule="auto"/>
        <w:rPr>
          <w:color w:val="010000"/>
        </w:rPr>
      </w:pPr>
      <w:r w:rsidRPr="003B2DC8">
        <w:rPr>
          <w:color w:val="010000"/>
        </w:rPr>
        <w:t>‎‎Article 1. Approve organiz</w:t>
      </w:r>
      <w:r w:rsidR="003B2DC8" w:rsidRPr="003B2DC8">
        <w:rPr>
          <w:color w:val="010000"/>
        </w:rPr>
        <w:t>ing</w:t>
      </w:r>
      <w:r w:rsidRPr="003B2DC8">
        <w:rPr>
          <w:color w:val="010000"/>
        </w:rPr>
        <w:t xml:space="preserve"> the Annual General Meeting of Shareholders 2024 with the following content:</w:t>
      </w:r>
    </w:p>
    <w:p w14:paraId="676B526E" w14:textId="77777777" w:rsidR="00922F14" w:rsidRPr="003B2DC8" w:rsidRDefault="00A10F22" w:rsidP="000A24EA">
      <w:pPr>
        <w:pStyle w:val="BodyText"/>
        <w:numPr>
          <w:ilvl w:val="0"/>
          <w:numId w:val="1"/>
        </w:numPr>
        <w:tabs>
          <w:tab w:val="left" w:pos="432"/>
          <w:tab w:val="left" w:pos="1284"/>
        </w:tabs>
        <w:spacing w:after="120" w:line="360" w:lineRule="auto"/>
        <w:rPr>
          <w:color w:val="010000"/>
        </w:rPr>
      </w:pPr>
      <w:r w:rsidRPr="003B2DC8">
        <w:rPr>
          <w:color w:val="010000"/>
        </w:rPr>
        <w:t>Record date to exercise the rights of shareholders: March 25, 2024</w:t>
      </w:r>
    </w:p>
    <w:p w14:paraId="1B462439" w14:textId="77777777" w:rsidR="00922F14" w:rsidRPr="003B2DC8" w:rsidRDefault="00A10F22" w:rsidP="000A24EA">
      <w:pPr>
        <w:pStyle w:val="BodyText"/>
        <w:numPr>
          <w:ilvl w:val="0"/>
          <w:numId w:val="1"/>
        </w:numPr>
        <w:tabs>
          <w:tab w:val="left" w:pos="432"/>
          <w:tab w:val="left" w:pos="1284"/>
        </w:tabs>
        <w:spacing w:after="120" w:line="360" w:lineRule="auto"/>
        <w:rPr>
          <w:color w:val="010000"/>
        </w:rPr>
      </w:pPr>
      <w:r w:rsidRPr="003B2DC8">
        <w:rPr>
          <w:color w:val="010000"/>
        </w:rPr>
        <w:t>Meeting time (expected): April 19, 2024</w:t>
      </w:r>
    </w:p>
    <w:p w14:paraId="6CE86583" w14:textId="77777777" w:rsidR="00922F14" w:rsidRPr="003B2DC8" w:rsidRDefault="00A10F22" w:rsidP="000A24EA">
      <w:pPr>
        <w:pStyle w:val="BodyText"/>
        <w:numPr>
          <w:ilvl w:val="0"/>
          <w:numId w:val="1"/>
        </w:numPr>
        <w:tabs>
          <w:tab w:val="left" w:pos="432"/>
          <w:tab w:val="left" w:pos="1284"/>
        </w:tabs>
        <w:spacing w:after="120" w:line="360" w:lineRule="auto"/>
        <w:rPr>
          <w:color w:val="010000"/>
        </w:rPr>
      </w:pPr>
      <w:r w:rsidRPr="003B2DC8">
        <w:rPr>
          <w:color w:val="010000"/>
        </w:rPr>
        <w:t>The expected venue: Phan Thiet City, Binh Thuan Province.</w:t>
      </w:r>
    </w:p>
    <w:p w14:paraId="2A8B4562" w14:textId="77777777" w:rsidR="00922F14" w:rsidRPr="003B2DC8" w:rsidRDefault="00A10F22" w:rsidP="000A24EA">
      <w:pPr>
        <w:pStyle w:val="BodyText"/>
        <w:numPr>
          <w:ilvl w:val="0"/>
          <w:numId w:val="1"/>
        </w:numPr>
        <w:tabs>
          <w:tab w:val="left" w:pos="432"/>
          <w:tab w:val="left" w:pos="1284"/>
        </w:tabs>
        <w:spacing w:after="120" w:line="360" w:lineRule="auto"/>
        <w:rPr>
          <w:color w:val="010000"/>
        </w:rPr>
      </w:pPr>
      <w:r w:rsidRPr="003B2DC8">
        <w:rPr>
          <w:color w:val="010000"/>
        </w:rPr>
        <w:t>Meeting contents:</w:t>
      </w:r>
    </w:p>
    <w:p w14:paraId="3BF17E91" w14:textId="77777777"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Report of the Board of Directors on activities in 2023 and orientation for 2024;</w:t>
      </w:r>
    </w:p>
    <w:p w14:paraId="3A9162D5" w14:textId="77777777"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Report of the Executive Board on business activities results in 2023 and orientations for 2024;</w:t>
      </w:r>
    </w:p>
    <w:p w14:paraId="76895D44" w14:textId="77777777"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Report of the Supervisory Board on the activities in 2023 and the orientation for 2024;</w:t>
      </w:r>
    </w:p>
    <w:p w14:paraId="0ECBFC62" w14:textId="77777777"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Self-assessment report on the operating results of the Supervisory Board and each member in 2023;</w:t>
      </w:r>
    </w:p>
    <w:p w14:paraId="429DE6AF" w14:textId="69EE6F40"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 xml:space="preserve">Proposal on approving the Audited </w:t>
      </w:r>
      <w:r w:rsidR="003B2DC8" w:rsidRPr="003B2DC8">
        <w:rPr>
          <w:color w:val="010000"/>
        </w:rPr>
        <w:t xml:space="preserve">Financial Statements </w:t>
      </w:r>
      <w:r w:rsidRPr="003B2DC8">
        <w:rPr>
          <w:color w:val="010000"/>
        </w:rPr>
        <w:t>and profit distribution plan of 2023;</w:t>
      </w:r>
    </w:p>
    <w:p w14:paraId="3EA7B26C" w14:textId="77777777"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Proposal on amending and supplementing the Charter of VietCredit Finance Joint Stock Company;</w:t>
      </w:r>
    </w:p>
    <w:p w14:paraId="4274B3D3" w14:textId="4D8421E6"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 xml:space="preserve">Proposal on electing members of the Supervisory Board for the term 2023 - 2028 and the </w:t>
      </w:r>
      <w:r w:rsidR="003B2DC8" w:rsidRPr="003B2DC8">
        <w:rPr>
          <w:color w:val="010000"/>
        </w:rPr>
        <w:t xml:space="preserve">Regulation </w:t>
      </w:r>
      <w:r w:rsidRPr="003B2DC8">
        <w:rPr>
          <w:color w:val="010000"/>
        </w:rPr>
        <w:t>for electing members of the Supervisory Board at the Annual General Meeting of Shareholders 2024;</w:t>
      </w:r>
    </w:p>
    <w:p w14:paraId="12237049" w14:textId="77777777"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Proposal on the Settlement of remuneration for members of the Board of Directors and the Supervisory Board in 2024;</w:t>
      </w:r>
    </w:p>
    <w:p w14:paraId="749750B2" w14:textId="0B953189"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 xml:space="preserve">Proposal on changing the location of the </w:t>
      </w:r>
      <w:r w:rsidR="003B2DC8" w:rsidRPr="003B2DC8">
        <w:rPr>
          <w:color w:val="010000"/>
        </w:rPr>
        <w:t>headquarters</w:t>
      </w:r>
      <w:r w:rsidRPr="003B2DC8">
        <w:rPr>
          <w:color w:val="010000"/>
        </w:rPr>
        <w:t xml:space="preserve"> of VietCredit Finance Joint Stock Company;</w:t>
      </w:r>
    </w:p>
    <w:p w14:paraId="6BFFB4FF" w14:textId="77777777" w:rsidR="00922F14" w:rsidRPr="003B2DC8" w:rsidRDefault="00A10F22" w:rsidP="000A24EA">
      <w:pPr>
        <w:pStyle w:val="BodyText"/>
        <w:numPr>
          <w:ilvl w:val="0"/>
          <w:numId w:val="2"/>
        </w:numPr>
        <w:tabs>
          <w:tab w:val="left" w:pos="432"/>
          <w:tab w:val="left" w:pos="1546"/>
        </w:tabs>
        <w:spacing w:after="120" w:line="360" w:lineRule="auto"/>
        <w:rPr>
          <w:color w:val="010000"/>
        </w:rPr>
      </w:pPr>
      <w:r w:rsidRPr="003B2DC8">
        <w:rPr>
          <w:color w:val="010000"/>
        </w:rPr>
        <w:t>Other contents under the authorities of the General Meeting of Shareholders (if any).</w:t>
      </w:r>
    </w:p>
    <w:p w14:paraId="13B7C0F3" w14:textId="77777777" w:rsidR="00922F14" w:rsidRPr="003B2DC8" w:rsidRDefault="00A10F22" w:rsidP="000A24EA">
      <w:pPr>
        <w:pStyle w:val="BodyText"/>
        <w:tabs>
          <w:tab w:val="left" w:pos="432"/>
        </w:tabs>
        <w:spacing w:after="120" w:line="360" w:lineRule="auto"/>
        <w:rPr>
          <w:color w:val="010000"/>
        </w:rPr>
      </w:pPr>
      <w:r w:rsidRPr="003B2DC8">
        <w:rPr>
          <w:color w:val="010000"/>
        </w:rPr>
        <w:t>‎‎Article 2. Assign the Chair of the Board of Directors to decide on the following tasks, based on the actual situation:</w:t>
      </w:r>
    </w:p>
    <w:p w14:paraId="0B71ED7E" w14:textId="77777777" w:rsidR="00922F14" w:rsidRPr="003B2DC8" w:rsidRDefault="00A10F22" w:rsidP="000A24EA">
      <w:pPr>
        <w:pStyle w:val="BodyText"/>
        <w:numPr>
          <w:ilvl w:val="0"/>
          <w:numId w:val="3"/>
        </w:numPr>
        <w:tabs>
          <w:tab w:val="left" w:pos="432"/>
          <w:tab w:val="left" w:pos="1279"/>
        </w:tabs>
        <w:spacing w:after="120" w:line="360" w:lineRule="auto"/>
        <w:rPr>
          <w:color w:val="010000"/>
        </w:rPr>
      </w:pPr>
      <w:r w:rsidRPr="003B2DC8">
        <w:rPr>
          <w:color w:val="010000"/>
        </w:rPr>
        <w:t>Decide to change the meeting date, meeting venue, and the record date (if deemed necessary).</w:t>
      </w:r>
    </w:p>
    <w:p w14:paraId="2CB0ABA1" w14:textId="77777777" w:rsidR="00922F14" w:rsidRPr="003B2DC8" w:rsidRDefault="00A10F22" w:rsidP="000A24EA">
      <w:pPr>
        <w:pStyle w:val="BodyText"/>
        <w:numPr>
          <w:ilvl w:val="0"/>
          <w:numId w:val="3"/>
        </w:numPr>
        <w:tabs>
          <w:tab w:val="left" w:pos="432"/>
          <w:tab w:val="left" w:pos="1279"/>
        </w:tabs>
        <w:spacing w:after="120" w:line="360" w:lineRule="auto"/>
        <w:rPr>
          <w:color w:val="010000"/>
        </w:rPr>
      </w:pPr>
      <w:r w:rsidRPr="003B2DC8">
        <w:rPr>
          <w:color w:val="010000"/>
        </w:rPr>
        <w:t>Implement the necessary procedures to ensure the organization of the Annual General Meeting of Shareholders 2024 in compliance with legal regulations and internal company regulations.</w:t>
      </w:r>
    </w:p>
    <w:p w14:paraId="46692087" w14:textId="23E926EF" w:rsidR="00922F14" w:rsidRPr="003B2DC8" w:rsidRDefault="00A10F22" w:rsidP="000A24EA">
      <w:pPr>
        <w:pStyle w:val="BodyText"/>
        <w:tabs>
          <w:tab w:val="left" w:pos="432"/>
        </w:tabs>
        <w:spacing w:after="120" w:line="360" w:lineRule="auto"/>
        <w:rPr>
          <w:color w:val="010000"/>
        </w:rPr>
      </w:pPr>
      <w:r w:rsidRPr="003B2DC8">
        <w:rPr>
          <w:color w:val="010000"/>
        </w:rPr>
        <w:t>‎‎Article 3. This Resolution takes effect from the date of its signing. Members of the Board of Directors, the Executive Board and relevant departments of the Company are responsible for implementing this Resolution.</w:t>
      </w:r>
    </w:p>
    <w:sectPr w:rsidR="00922F14" w:rsidRPr="003B2DC8" w:rsidSect="000A24EA">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FF9D" w14:textId="77777777" w:rsidR="0001411D" w:rsidRDefault="0001411D">
      <w:r>
        <w:separator/>
      </w:r>
    </w:p>
  </w:endnote>
  <w:endnote w:type="continuationSeparator" w:id="0">
    <w:p w14:paraId="6EF2F37F" w14:textId="77777777" w:rsidR="0001411D" w:rsidRDefault="0001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等线">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AFA9C" w14:textId="77777777" w:rsidR="0001411D" w:rsidRDefault="0001411D"/>
  </w:footnote>
  <w:footnote w:type="continuationSeparator" w:id="0">
    <w:p w14:paraId="036636D7" w14:textId="77777777" w:rsidR="0001411D" w:rsidRDefault="000141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562D4"/>
    <w:multiLevelType w:val="multilevel"/>
    <w:tmpl w:val="D3A859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E4822"/>
    <w:multiLevelType w:val="multilevel"/>
    <w:tmpl w:val="2194B574"/>
    <w:lvl w:ilvl="0">
      <w:start w:val="1"/>
      <w:numFmt w:val="bullet"/>
      <w:lvlText w:val="-"/>
      <w:lvlJc w:val="left"/>
      <w:rPr>
        <w:rFonts w:ascii="Arial" w:eastAsia="Arial" w:hAnsi="Arial" w:cs="Arial"/>
        <w:b w:val="0"/>
        <w:bCs w:val="0"/>
        <w:i w:val="0"/>
        <w:iCs/>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557A3E"/>
    <w:multiLevelType w:val="multilevel"/>
    <w:tmpl w:val="22F453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14"/>
    <w:rsid w:val="0001411D"/>
    <w:rsid w:val="000A24EA"/>
    <w:rsid w:val="00167E6E"/>
    <w:rsid w:val="003B2DC8"/>
    <w:rsid w:val="00922F14"/>
    <w:rsid w:val="00A10F22"/>
    <w:rsid w:val="00A319D3"/>
    <w:rsid w:val="00E3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D8E1C"/>
  <w15:docId w15:val="{094DF4FF-D98E-A34A-983C-4B5523C5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38"/>
      <w:szCs w:val="38"/>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character" w:customStyle="1" w:styleId="Heading2">
    <w:name w:val="Heading #2_"/>
    <w:basedOn w:val="DefaultParagraphFont"/>
    <w:link w:val="Heading20"/>
    <w:rPr>
      <w:rFonts w:ascii="Arial" w:eastAsia="Arial" w:hAnsi="Arial" w:cs="Arial"/>
      <w:b/>
      <w:bCs/>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Arial" w:eastAsia="Arial" w:hAnsi="Arial" w:cs="Arial"/>
      <w:sz w:val="38"/>
      <w:szCs w:val="38"/>
    </w:rPr>
  </w:style>
  <w:style w:type="paragraph" w:styleId="BodyText">
    <w:name w:val="Body Text"/>
    <w:basedOn w:val="Normal"/>
    <w:link w:val="BodyTextChar"/>
    <w:qFormat/>
    <w:pPr>
      <w:spacing w:line="324" w:lineRule="auto"/>
    </w:pPr>
    <w:rPr>
      <w:rFonts w:ascii="Arial" w:eastAsia="Arial" w:hAnsi="Arial" w:cs="Arial"/>
      <w:sz w:val="20"/>
      <w:szCs w:val="20"/>
    </w:rPr>
  </w:style>
  <w:style w:type="paragraph" w:customStyle="1" w:styleId="Other0">
    <w:name w:val="Other"/>
    <w:basedOn w:val="Normal"/>
    <w:link w:val="Other"/>
    <w:pPr>
      <w:spacing w:line="324" w:lineRule="auto"/>
    </w:pPr>
    <w:rPr>
      <w:rFonts w:ascii="Arial" w:eastAsia="Arial" w:hAnsi="Arial" w:cs="Arial"/>
      <w:sz w:val="20"/>
      <w:szCs w:val="20"/>
    </w:rPr>
  </w:style>
  <w:style w:type="paragraph" w:customStyle="1" w:styleId="Heading20">
    <w:name w:val="Heading #2"/>
    <w:basedOn w:val="Normal"/>
    <w:link w:val="Heading2"/>
    <w:pPr>
      <w:spacing w:line="314" w:lineRule="auto"/>
      <w:jc w:val="center"/>
      <w:outlineLvl w:val="1"/>
    </w:pPr>
    <w:rPr>
      <w:rFonts w:ascii="Arial" w:eastAsia="Arial" w:hAnsi="Arial" w:cs="Arial"/>
      <w:b/>
      <w:bCs/>
      <w:sz w:val="22"/>
      <w:szCs w:val="22"/>
    </w:rPr>
  </w:style>
  <w:style w:type="paragraph" w:customStyle="1" w:styleId="Heading10">
    <w:name w:val="Heading #1"/>
    <w:basedOn w:val="Normal"/>
    <w:link w:val="Heading1"/>
    <w:pPr>
      <w:jc w:val="center"/>
      <w:outlineLvl w:val="0"/>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2024-03-07T03:18:00Z</dcterms:created>
  <dcterms:modified xsi:type="dcterms:W3CDTF">2024-03-07T03:18:00Z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774c5d14f86356bc3f96765b1587c52fae46fab943d7e6008e66f81d825c24f7</vt:lpwstr>
  </property>
</Properties>
</file>