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85EA20" w:rsidR="009C7D50" w:rsidRPr="005B4525" w:rsidRDefault="003C4225" w:rsidP="002E41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4525">
        <w:rPr>
          <w:rFonts w:ascii="Arial" w:hAnsi="Arial" w:cs="Arial"/>
          <w:b/>
          <w:color w:val="010000"/>
          <w:sz w:val="20"/>
        </w:rPr>
        <w:t xml:space="preserve">TTZ: Decision </w:t>
      </w:r>
      <w:r w:rsidR="005B4525" w:rsidRPr="005B4525">
        <w:rPr>
          <w:rFonts w:ascii="Arial" w:hAnsi="Arial" w:cs="Arial"/>
          <w:b/>
          <w:color w:val="010000"/>
          <w:sz w:val="20"/>
        </w:rPr>
        <w:t>on</w:t>
      </w:r>
      <w:r w:rsidRPr="005B4525">
        <w:rPr>
          <w:rFonts w:ascii="Arial" w:hAnsi="Arial" w:cs="Arial"/>
          <w:b/>
          <w:color w:val="010000"/>
          <w:sz w:val="20"/>
        </w:rPr>
        <w:t xml:space="preserve"> coercive enforcement of administrative decisions on tax administration</w:t>
      </w:r>
    </w:p>
    <w:p w14:paraId="00000002" w14:textId="77777777" w:rsidR="009C7D50" w:rsidRPr="005B4525" w:rsidRDefault="003C4225" w:rsidP="002E41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B4525">
        <w:rPr>
          <w:rFonts w:ascii="Arial" w:hAnsi="Arial" w:cs="Arial"/>
          <w:color w:val="010000"/>
          <w:sz w:val="20"/>
        </w:rPr>
        <w:t>On March 05, 2023, Tien Trung Investment Construction and Technology Joint Stock Company announced Official Dispatch No. 08/2024/CV-TTZ as follows:</w:t>
      </w:r>
    </w:p>
    <w:p w14:paraId="00000003" w14:textId="72E877FE" w:rsidR="009C7D50" w:rsidRPr="005B4525" w:rsidRDefault="003C4225" w:rsidP="002E41D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525">
        <w:rPr>
          <w:rFonts w:ascii="Arial" w:hAnsi="Arial" w:cs="Arial"/>
          <w:color w:val="010000"/>
          <w:sz w:val="20"/>
        </w:rPr>
        <w:t xml:space="preserve">The company is subject to account </w:t>
      </w:r>
      <w:r w:rsidR="005B4525">
        <w:rPr>
          <w:rFonts w:ascii="Arial" w:hAnsi="Arial" w:cs="Arial"/>
          <w:color w:val="010000"/>
          <w:sz w:val="20"/>
        </w:rPr>
        <w:t>coercion</w:t>
      </w:r>
      <w:r w:rsidRPr="005B4525">
        <w:rPr>
          <w:rFonts w:ascii="Arial" w:hAnsi="Arial" w:cs="Arial"/>
          <w:color w:val="010000"/>
          <w:sz w:val="20"/>
        </w:rPr>
        <w:t xml:space="preserve"> due to late tax </w:t>
      </w:r>
      <w:bookmarkStart w:id="1" w:name="_GoBack"/>
      <w:bookmarkEnd w:id="1"/>
      <w:r w:rsidRPr="005B4525">
        <w:rPr>
          <w:rFonts w:ascii="Arial" w:hAnsi="Arial" w:cs="Arial"/>
          <w:color w:val="010000"/>
          <w:sz w:val="20"/>
        </w:rPr>
        <w:t>payment according to Decision No. 181/QD-CCTKV; Decision No. 182/QD-CCTKV; Decision No. 183/QD-CCTKV; Decision No. 184/QD-CCTKV dated February 28, 2024 of Tien Hai Tax Department - Kien Xuong - Thai Binh.</w:t>
      </w:r>
    </w:p>
    <w:sectPr w:rsidR="009C7D50" w:rsidRPr="005B4525" w:rsidSect="003C422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50"/>
    <w:rsid w:val="002E41D0"/>
    <w:rsid w:val="003C4225"/>
    <w:rsid w:val="005B4525"/>
    <w:rsid w:val="009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2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70" w:firstLine="70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194" w:lineRule="auto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70" w:firstLine="70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194" w:lineRule="auto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d1QyzhTvWE2ltrhvuKRCKwR1Q==">CgMxLjAyCGguZ2pkZ3hzOAByITFoOXRta0pFZUxkTmxlN0dVRFhLMFlHTlRSR3B3YUhoTg==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2024-03-07T03:42:00Z</dcterms:created>
  <dcterms:modified xsi:type="dcterms:W3CDTF">2024-03-08T05:05:00Z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f443ca7502169e740a65db5fd15bf913b92ddbd6aa4d48b6df1be1a3164eb610</vt:lpwstr>
  </property>
</Properties>
</file>